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8E06" w14:textId="77504D01" w:rsidR="009A30DD" w:rsidRPr="00657FA4" w:rsidRDefault="009A30DD">
      <w:pPr>
        <w:rPr>
          <w:b/>
          <w:bCs/>
          <w:sz w:val="36"/>
          <w:szCs w:val="36"/>
        </w:rPr>
      </w:pPr>
      <w:r w:rsidRPr="00657FA4">
        <w:rPr>
          <w:b/>
          <w:bCs/>
          <w:sz w:val="36"/>
          <w:szCs w:val="36"/>
        </w:rPr>
        <w:t xml:space="preserve">Representative Engagement </w:t>
      </w:r>
      <w:r w:rsidR="00475B8F" w:rsidRPr="00657FA4">
        <w:rPr>
          <w:b/>
          <w:bCs/>
          <w:sz w:val="36"/>
          <w:szCs w:val="36"/>
        </w:rPr>
        <w:t>in</w:t>
      </w:r>
      <w:r w:rsidRPr="00657FA4">
        <w:rPr>
          <w:b/>
          <w:bCs/>
          <w:sz w:val="36"/>
          <w:szCs w:val="36"/>
        </w:rPr>
        <w:t xml:space="preserve"> Sandwell</w:t>
      </w:r>
    </w:p>
    <w:p w14:paraId="13F5E6D5" w14:textId="4A026943" w:rsidR="00FA4171" w:rsidRDefault="00FA4171" w:rsidP="00FA4171">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0000"/>
          <w:sz w:val="23"/>
          <w:szCs w:val="23"/>
          <w:bdr w:val="none" w:sz="0" w:space="0" w:color="auto" w:frame="1"/>
        </w:rPr>
        <w:t>Working on our intelligence and as part of our board decision making policy, we are focusing on 3 main areas:</w:t>
      </w:r>
    </w:p>
    <w:p w14:paraId="5BA53C83" w14:textId="77777777" w:rsidR="00FA4171" w:rsidRDefault="00FA4171" w:rsidP="00FA4171">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6D0F6433" w14:textId="77777777" w:rsidR="00FA4171" w:rsidRDefault="00FA4171" w:rsidP="00657FA4">
      <w:pPr>
        <w:pStyle w:val="NormalWeb"/>
        <w:numPr>
          <w:ilvl w:val="0"/>
          <w:numId w:val="2"/>
        </w:numPr>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0000"/>
          <w:sz w:val="23"/>
          <w:szCs w:val="23"/>
          <w:bdr w:val="none" w:sz="0" w:space="0" w:color="auto" w:frame="1"/>
        </w:rPr>
        <w:t>SEND support outside of school hours and weekends</w:t>
      </w:r>
    </w:p>
    <w:p w14:paraId="0283E6FA" w14:textId="70B1A1B4" w:rsidR="00FA4171" w:rsidRDefault="00FA4171" w:rsidP="00657FA4">
      <w:pPr>
        <w:pStyle w:val="NormalWeb"/>
        <w:numPr>
          <w:ilvl w:val="0"/>
          <w:numId w:val="2"/>
        </w:numPr>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0000"/>
          <w:sz w:val="23"/>
          <w:szCs w:val="23"/>
          <w:bdr w:val="none" w:sz="0" w:space="0" w:color="auto" w:frame="1"/>
        </w:rPr>
        <w:t>Carers Support, young carers and carers of children with disabilities</w:t>
      </w:r>
    </w:p>
    <w:p w14:paraId="1940AE69" w14:textId="2F2308CF" w:rsidR="00FA4171" w:rsidRDefault="00A76640" w:rsidP="00657FA4">
      <w:pPr>
        <w:pStyle w:val="NormalWeb"/>
        <w:numPr>
          <w:ilvl w:val="0"/>
          <w:numId w:val="2"/>
        </w:numPr>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0000"/>
          <w:sz w:val="23"/>
          <w:szCs w:val="23"/>
          <w:bdr w:val="none" w:sz="0" w:space="0" w:color="auto" w:frame="1"/>
        </w:rPr>
        <w:t>Underrepresented</w:t>
      </w:r>
      <w:r w:rsidR="00FA4171">
        <w:rPr>
          <w:rFonts w:ascii="Segoe UI" w:hAnsi="Segoe UI" w:cs="Segoe UI"/>
          <w:color w:val="000000"/>
          <w:sz w:val="23"/>
          <w:szCs w:val="23"/>
          <w:bdr w:val="none" w:sz="0" w:space="0" w:color="auto" w:frame="1"/>
        </w:rPr>
        <w:t xml:space="preserve"> groups</w:t>
      </w:r>
    </w:p>
    <w:p w14:paraId="616F9E5A" w14:textId="218D8B44" w:rsidR="00FA4171" w:rsidRDefault="00FA4171" w:rsidP="00657FA4">
      <w:pPr>
        <w:pStyle w:val="NormalWeb"/>
        <w:numPr>
          <w:ilvl w:val="0"/>
          <w:numId w:val="2"/>
        </w:numPr>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0000"/>
          <w:sz w:val="23"/>
          <w:szCs w:val="23"/>
          <w:bdr w:val="none" w:sz="0" w:space="0" w:color="auto" w:frame="1"/>
        </w:rPr>
        <w:t>Digital Inequalities </w:t>
      </w:r>
    </w:p>
    <w:p w14:paraId="121AD9FC" w14:textId="77777777" w:rsidR="00FA4171" w:rsidRDefault="00FA4171" w:rsidP="00FA4171">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2B29529E" w14:textId="77777777" w:rsidR="00FA4171" w:rsidRPr="00657FA4" w:rsidRDefault="00FA4171" w:rsidP="00FA4171">
      <w:pPr>
        <w:pStyle w:val="NormalWeb"/>
        <w:shd w:val="clear" w:color="auto" w:fill="FFFFFF"/>
        <w:spacing w:before="0" w:beforeAutospacing="0" w:after="0" w:afterAutospacing="0"/>
        <w:jc w:val="both"/>
        <w:rPr>
          <w:rFonts w:ascii="Segoe UI" w:hAnsi="Segoe UI" w:cs="Segoe UI"/>
          <w:b/>
          <w:bCs/>
          <w:color w:val="242424"/>
          <w:sz w:val="28"/>
          <w:szCs w:val="28"/>
        </w:rPr>
      </w:pPr>
      <w:r w:rsidRPr="00657FA4">
        <w:rPr>
          <w:rFonts w:ascii="Segoe UI" w:hAnsi="Segoe UI" w:cs="Segoe UI"/>
          <w:b/>
          <w:bCs/>
          <w:color w:val="000000"/>
          <w:sz w:val="28"/>
          <w:szCs w:val="28"/>
          <w:bdr w:val="none" w:sz="0" w:space="0" w:color="auto" w:frame="1"/>
        </w:rPr>
        <w:t>Conversations with Foster Carers in Sandwell</w:t>
      </w:r>
    </w:p>
    <w:p w14:paraId="6B534878" w14:textId="77777777" w:rsidR="00FA4171" w:rsidRDefault="00FA4171" w:rsidP="00FA4171">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751011F6" w14:textId="32D2DA26" w:rsidR="00FA4171" w:rsidRDefault="00FA4171" w:rsidP="00FA4171">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0000"/>
          <w:sz w:val="23"/>
          <w:szCs w:val="23"/>
          <w:bdr w:val="none" w:sz="0" w:space="0" w:color="auto" w:frame="1"/>
        </w:rPr>
        <w:t xml:space="preserve">Sandwell Children’s Trust – Voices Heard Event Healthwatch were kindly invited to attend the Voices Heard Foster event on Wednesday 29th May at Coneygre Community Centre in Tipton. The event was a celebration of </w:t>
      </w:r>
      <w:r w:rsidR="00657FA4">
        <w:rPr>
          <w:rFonts w:ascii="Segoe UI" w:hAnsi="Segoe UI" w:cs="Segoe UI"/>
          <w:color w:val="000000"/>
          <w:sz w:val="23"/>
          <w:szCs w:val="23"/>
          <w:bdr w:val="none" w:sz="0" w:space="0" w:color="auto" w:frame="1"/>
        </w:rPr>
        <w:t>foster</w:t>
      </w:r>
      <w:r>
        <w:rPr>
          <w:rFonts w:ascii="Segoe UI" w:hAnsi="Segoe UI" w:cs="Segoe UI"/>
          <w:color w:val="000000"/>
          <w:sz w:val="23"/>
          <w:szCs w:val="23"/>
          <w:bdr w:val="none" w:sz="0" w:space="0" w:color="auto" w:frame="1"/>
        </w:rPr>
        <w:t xml:space="preserve"> caring in Sandwell and an information and promotion event showcasing local support services. But mostly important, it gave both foster carers and fostered children an opportunity to share their experiences. We were able to talk to foster parents about some of the challenges that they face in accessing services to support their fostered child or children. The findings reveal several significant challenges faced by foster carers in accessing essential services and support for both themselves and the children in their care. These challenges are complex and impact the overall effectiveness and efficiency of the foster care system</w:t>
      </w:r>
    </w:p>
    <w:p w14:paraId="048DF9A4" w14:textId="77777777" w:rsidR="00FA4171" w:rsidRDefault="00FA4171" w:rsidP="00FA4171">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55AEB203" w14:textId="11F36FFF" w:rsidR="00FA4171" w:rsidRDefault="00FA4171" w:rsidP="00FA4171">
      <w:pPr>
        <w:pStyle w:val="NormalWeb"/>
        <w:shd w:val="clear" w:color="auto" w:fill="FFFFFF"/>
        <w:spacing w:before="0" w:beforeAutospacing="0" w:after="0" w:afterAutospacing="0"/>
        <w:jc w:val="both"/>
        <w:rPr>
          <w:rFonts w:ascii="Segoe UI" w:hAnsi="Segoe UI" w:cs="Segoe UI"/>
          <w:color w:val="242424"/>
          <w:sz w:val="23"/>
          <w:szCs w:val="23"/>
        </w:rPr>
      </w:pPr>
      <w:r>
        <w:rPr>
          <w:rFonts w:ascii="Segoe UI" w:hAnsi="Segoe UI" w:cs="Segoe UI"/>
          <w:color w:val="000000"/>
          <w:sz w:val="23"/>
          <w:szCs w:val="23"/>
          <w:bdr w:val="none" w:sz="0" w:space="0" w:color="auto" w:frame="1"/>
        </w:rPr>
        <w:t xml:space="preserve">We have also recently published the report </w:t>
      </w:r>
      <w:proofErr w:type="gramStart"/>
      <w:r>
        <w:rPr>
          <w:rFonts w:ascii="Segoe UI" w:hAnsi="Segoe UI" w:cs="Segoe UI"/>
          <w:color w:val="000000"/>
          <w:sz w:val="23"/>
          <w:szCs w:val="23"/>
          <w:bdr w:val="none" w:sz="0" w:space="0" w:color="auto" w:frame="1"/>
        </w:rPr>
        <w:t>on</w:t>
      </w:r>
      <w:proofErr w:type="gramEnd"/>
      <w:r>
        <w:rPr>
          <w:rFonts w:ascii="Segoe UI" w:hAnsi="Segoe UI" w:cs="Segoe UI"/>
          <w:color w:val="000000"/>
          <w:sz w:val="23"/>
          <w:szCs w:val="23"/>
          <w:bdr w:val="none" w:sz="0" w:space="0" w:color="auto" w:frame="1"/>
        </w:rPr>
        <w:t xml:space="preserve"> or website and it highlights some of the issues faced by foster carers. We also welcome further foster carers to contact us and share their views on services, resources and concerns. </w:t>
      </w:r>
    </w:p>
    <w:p w14:paraId="29F00817" w14:textId="77777777" w:rsidR="00FA4171" w:rsidRDefault="00FA4171" w:rsidP="00FA4171">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78731C84" w14:textId="29130720" w:rsidR="00FA4171" w:rsidRDefault="00FA4171" w:rsidP="00FA4171">
      <w:pPr>
        <w:pStyle w:val="NormalWeb"/>
        <w:shd w:val="clear" w:color="auto" w:fill="FFFFFF"/>
        <w:spacing w:before="0" w:beforeAutospacing="0" w:after="0" w:afterAutospacing="0"/>
        <w:jc w:val="both"/>
        <w:rPr>
          <w:rFonts w:ascii="Segoe UI" w:hAnsi="Segoe UI" w:cs="Segoe UI"/>
          <w:color w:val="000000"/>
          <w:sz w:val="23"/>
          <w:szCs w:val="23"/>
          <w:bdr w:val="none" w:sz="0" w:space="0" w:color="auto" w:frame="1"/>
        </w:rPr>
      </w:pPr>
      <w:r>
        <w:rPr>
          <w:rFonts w:ascii="Segoe UI" w:hAnsi="Segoe UI" w:cs="Segoe UI"/>
          <w:color w:val="000000"/>
          <w:sz w:val="23"/>
          <w:szCs w:val="23"/>
          <w:bdr w:val="none" w:sz="0" w:space="0" w:color="auto" w:frame="1"/>
        </w:rPr>
        <w:t>Based on this and talking to some parents around EHCP access, CAMHS, out of hours medical support for children with ADHD and autism we are undertaking a  project to talk to further parents around carer support. </w:t>
      </w:r>
    </w:p>
    <w:p w14:paraId="63C67516" w14:textId="77777777" w:rsidR="002E49D4" w:rsidRDefault="002E49D4" w:rsidP="00FA4171">
      <w:pPr>
        <w:pStyle w:val="NormalWeb"/>
        <w:shd w:val="clear" w:color="auto" w:fill="FFFFFF"/>
        <w:spacing w:before="0" w:beforeAutospacing="0" w:after="0" w:afterAutospacing="0"/>
        <w:jc w:val="both"/>
        <w:rPr>
          <w:rFonts w:ascii="Segoe UI" w:hAnsi="Segoe UI" w:cs="Segoe UI"/>
          <w:color w:val="000000"/>
          <w:sz w:val="23"/>
          <w:szCs w:val="23"/>
          <w:bdr w:val="none" w:sz="0" w:space="0" w:color="auto" w:frame="1"/>
        </w:rPr>
      </w:pPr>
    </w:p>
    <w:p w14:paraId="25BEBFA5" w14:textId="68D367B8" w:rsidR="002E49D4" w:rsidRPr="00657FA4" w:rsidRDefault="002E49D4" w:rsidP="002E49D4">
      <w:pPr>
        <w:pStyle w:val="NormalWeb"/>
        <w:shd w:val="clear" w:color="auto" w:fill="FFFFFF"/>
        <w:spacing w:before="0" w:beforeAutospacing="0" w:after="0" w:afterAutospacing="0"/>
        <w:textAlignment w:val="baseline"/>
        <w:rPr>
          <w:rFonts w:ascii="Segoe UI" w:hAnsi="Segoe UI" w:cs="Segoe UI"/>
          <w:b/>
          <w:bCs/>
          <w:color w:val="242424"/>
          <w:sz w:val="28"/>
          <w:szCs w:val="28"/>
        </w:rPr>
      </w:pPr>
      <w:r w:rsidRPr="00657FA4">
        <w:rPr>
          <w:rFonts w:ascii="Segoe UI" w:hAnsi="Segoe UI" w:cs="Segoe UI"/>
          <w:b/>
          <w:bCs/>
          <w:color w:val="000000"/>
          <w:sz w:val="28"/>
          <w:szCs w:val="28"/>
          <w:bdr w:val="none" w:sz="0" w:space="0" w:color="auto" w:frame="1"/>
        </w:rPr>
        <w:t xml:space="preserve">Digital </w:t>
      </w:r>
      <w:r w:rsidR="00B36001" w:rsidRPr="00657FA4">
        <w:rPr>
          <w:rFonts w:ascii="Segoe UI" w:hAnsi="Segoe UI" w:cs="Segoe UI"/>
          <w:b/>
          <w:bCs/>
          <w:color w:val="000000"/>
          <w:sz w:val="28"/>
          <w:szCs w:val="28"/>
          <w:bdr w:val="none" w:sz="0" w:space="0" w:color="auto" w:frame="1"/>
        </w:rPr>
        <w:t>Inequalities</w:t>
      </w:r>
      <w:r w:rsidRPr="00657FA4">
        <w:rPr>
          <w:rFonts w:ascii="Segoe UI" w:hAnsi="Segoe UI" w:cs="Segoe UI"/>
          <w:b/>
          <w:bCs/>
          <w:color w:val="000000"/>
          <w:sz w:val="28"/>
          <w:szCs w:val="28"/>
          <w:bdr w:val="none" w:sz="0" w:space="0" w:color="auto" w:frame="1"/>
        </w:rPr>
        <w:t> </w:t>
      </w:r>
    </w:p>
    <w:p w14:paraId="21CAE94C" w14:textId="77777777" w:rsidR="002E49D4" w:rsidRDefault="002E49D4" w:rsidP="002E49D4">
      <w:pPr>
        <w:pStyle w:val="Normal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 </w:t>
      </w:r>
    </w:p>
    <w:p w14:paraId="0064BF9C" w14:textId="77777777" w:rsidR="002E49D4" w:rsidRDefault="002E49D4" w:rsidP="002E49D4">
      <w:pPr>
        <w:pStyle w:val="NormalWeb"/>
        <w:shd w:val="clear" w:color="auto" w:fill="FFFFFF"/>
        <w:spacing w:before="0" w:beforeAutospacing="0" w:after="0" w:afterAutospacing="0"/>
        <w:textAlignment w:val="baseline"/>
        <w:rPr>
          <w:rFonts w:ascii="Aptos" w:hAnsi="Aptos" w:cs="Segoe UI"/>
          <w:color w:val="242424"/>
        </w:rPr>
      </w:pPr>
      <w:r>
        <w:rPr>
          <w:rStyle w:val="markjm6u4cxpe"/>
          <w:rFonts w:ascii="Aptos" w:eastAsiaTheme="majorEastAsia" w:hAnsi="Aptos" w:cs="Segoe UI"/>
          <w:color w:val="000000"/>
          <w:bdr w:val="none" w:sz="0" w:space="0" w:color="auto" w:frame="1"/>
        </w:rPr>
        <w:t>Sandwell has a low update of digital use for appointment booking through both the NHS App and GP digital platforms. Whilst there has been an increase in the number of patients registering utilisation is still look.</w:t>
      </w:r>
    </w:p>
    <w:p w14:paraId="34178396" w14:textId="77777777" w:rsidR="002E49D4" w:rsidRDefault="002E49D4" w:rsidP="002E49D4">
      <w:pPr>
        <w:pStyle w:val="Normal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We are undertaking a joint project with the integrated care board to ascertain why uptake is poor:</w:t>
      </w:r>
    </w:p>
    <w:p w14:paraId="051FE904" w14:textId="77777777" w:rsidR="002E49D4" w:rsidRDefault="002E49D4" w:rsidP="002E49D4">
      <w:pPr>
        <w:pStyle w:val="Normal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lastRenderedPageBreak/>
        <w:t> </w:t>
      </w:r>
    </w:p>
    <w:p w14:paraId="343ADFF2" w14:textId="77777777" w:rsidR="002E49D4" w:rsidRDefault="002E49D4" w:rsidP="00B36001">
      <w:pPr>
        <w:pStyle w:val="NormalWeb"/>
        <w:numPr>
          <w:ilvl w:val="0"/>
          <w:numId w:val="1"/>
        </w:numPr>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Whether this is to do with:</w:t>
      </w:r>
    </w:p>
    <w:p w14:paraId="51AE282C" w14:textId="77777777" w:rsidR="002E49D4" w:rsidRDefault="002E49D4" w:rsidP="00B36001">
      <w:pPr>
        <w:pStyle w:val="NormalWeb"/>
        <w:numPr>
          <w:ilvl w:val="0"/>
          <w:numId w:val="1"/>
        </w:numPr>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Language barriers</w:t>
      </w:r>
    </w:p>
    <w:p w14:paraId="2147F0FC" w14:textId="77777777" w:rsidR="002E49D4" w:rsidRDefault="002E49D4" w:rsidP="00B36001">
      <w:pPr>
        <w:pStyle w:val="NormalWeb"/>
        <w:numPr>
          <w:ilvl w:val="0"/>
          <w:numId w:val="1"/>
        </w:numPr>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Lack of access /  cost of equipment to use  a digital platform</w:t>
      </w:r>
    </w:p>
    <w:p w14:paraId="5FF4B495" w14:textId="77777777" w:rsidR="002E49D4" w:rsidRDefault="002E49D4" w:rsidP="00B36001">
      <w:pPr>
        <w:pStyle w:val="NormalWeb"/>
        <w:numPr>
          <w:ilvl w:val="0"/>
          <w:numId w:val="1"/>
        </w:numPr>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Ease of use</w:t>
      </w:r>
    </w:p>
    <w:p w14:paraId="49C0AB71" w14:textId="77777777" w:rsidR="002E49D4" w:rsidRDefault="002E49D4" w:rsidP="00B36001">
      <w:pPr>
        <w:pStyle w:val="NormalWeb"/>
        <w:numPr>
          <w:ilvl w:val="0"/>
          <w:numId w:val="1"/>
        </w:numPr>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Preference</w:t>
      </w:r>
    </w:p>
    <w:p w14:paraId="7F7DFCCB" w14:textId="77777777" w:rsidR="002E49D4" w:rsidRDefault="002E49D4" w:rsidP="00B36001">
      <w:pPr>
        <w:pStyle w:val="NormalWeb"/>
        <w:numPr>
          <w:ilvl w:val="0"/>
          <w:numId w:val="1"/>
        </w:numPr>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Confusion in which app to use and why.</w:t>
      </w:r>
    </w:p>
    <w:p w14:paraId="1F57E36C" w14:textId="0B6E8CB0" w:rsidR="002E49D4" w:rsidRDefault="002E49D4" w:rsidP="00B36001">
      <w:pPr>
        <w:pStyle w:val="NormalWeb"/>
        <w:shd w:val="clear" w:color="auto" w:fill="FFFFFF"/>
        <w:spacing w:before="0" w:beforeAutospacing="0" w:after="0" w:afterAutospacing="0"/>
        <w:ind w:firstLine="60"/>
        <w:textAlignment w:val="baseline"/>
        <w:rPr>
          <w:rFonts w:ascii="Aptos" w:hAnsi="Aptos" w:cs="Segoe UI"/>
          <w:color w:val="242424"/>
        </w:rPr>
      </w:pPr>
    </w:p>
    <w:p w14:paraId="09BC5A77" w14:textId="77777777" w:rsidR="002E49D4" w:rsidRDefault="002E49D4" w:rsidP="002E49D4">
      <w:pPr>
        <w:pStyle w:val="Normal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Whilst it is key for people still to be able to call their GP surgery Healthwatch Sandwell feel that it is fundamental that patients are aware of what services are available through their GP practice and that there are a variety of options available to book appointments, results, follow ups, medication etc</w:t>
      </w:r>
    </w:p>
    <w:p w14:paraId="7D7B76DF" w14:textId="77777777" w:rsidR="002E49D4" w:rsidRDefault="002E49D4" w:rsidP="00FA4171">
      <w:pPr>
        <w:pStyle w:val="NormalWeb"/>
        <w:shd w:val="clear" w:color="auto" w:fill="FFFFFF"/>
        <w:spacing w:before="0" w:beforeAutospacing="0" w:after="0" w:afterAutospacing="0"/>
        <w:jc w:val="both"/>
        <w:rPr>
          <w:rFonts w:ascii="Segoe UI" w:hAnsi="Segoe UI" w:cs="Segoe UI"/>
          <w:color w:val="242424"/>
          <w:sz w:val="23"/>
          <w:szCs w:val="23"/>
        </w:rPr>
      </w:pPr>
    </w:p>
    <w:p w14:paraId="70A7E006" w14:textId="23B4033F" w:rsidR="00FA4171" w:rsidRPr="00B36001" w:rsidRDefault="00FA4171" w:rsidP="00B36001">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01F1E"/>
          <w:sz w:val="22"/>
          <w:szCs w:val="22"/>
          <w:bdr w:val="none" w:sz="0" w:space="0" w:color="auto" w:frame="1"/>
        </w:rPr>
        <w:t> </w:t>
      </w:r>
    </w:p>
    <w:tbl>
      <w:tblPr>
        <w:tblStyle w:val="TableGrid"/>
        <w:tblW w:w="0" w:type="auto"/>
        <w:tblLook w:val="04A0" w:firstRow="1" w:lastRow="0" w:firstColumn="1" w:lastColumn="0" w:noHBand="0" w:noVBand="1"/>
      </w:tblPr>
      <w:tblGrid>
        <w:gridCol w:w="2337"/>
        <w:gridCol w:w="2337"/>
        <w:gridCol w:w="2338"/>
        <w:gridCol w:w="5741"/>
      </w:tblGrid>
      <w:tr w:rsidR="002A53D7" w14:paraId="7B7BC537" w14:textId="77777777" w:rsidTr="00B36001">
        <w:tc>
          <w:tcPr>
            <w:tcW w:w="2337" w:type="dxa"/>
            <w:shd w:val="clear" w:color="auto" w:fill="074F6A" w:themeFill="accent4" w:themeFillShade="80"/>
          </w:tcPr>
          <w:p w14:paraId="6EF005EB" w14:textId="66E6437E" w:rsidR="002A53D7" w:rsidRPr="00B36001" w:rsidRDefault="002A53D7" w:rsidP="002A53D7">
            <w:pPr>
              <w:rPr>
                <w:b/>
                <w:bCs/>
                <w:color w:val="FFFFFF" w:themeColor="background1"/>
                <w:sz w:val="28"/>
                <w:szCs w:val="28"/>
              </w:rPr>
            </w:pPr>
            <w:r w:rsidRPr="00B36001">
              <w:rPr>
                <w:b/>
                <w:bCs/>
                <w:color w:val="FFFFFF" w:themeColor="background1"/>
                <w:sz w:val="28"/>
                <w:szCs w:val="28"/>
              </w:rPr>
              <w:t>Date</w:t>
            </w:r>
          </w:p>
        </w:tc>
        <w:tc>
          <w:tcPr>
            <w:tcW w:w="2337" w:type="dxa"/>
            <w:shd w:val="clear" w:color="auto" w:fill="074F6A" w:themeFill="accent4" w:themeFillShade="80"/>
          </w:tcPr>
          <w:p w14:paraId="091FF206" w14:textId="1DD95FC3" w:rsidR="002A53D7" w:rsidRPr="00B36001" w:rsidRDefault="002A53D7" w:rsidP="002A53D7">
            <w:pPr>
              <w:rPr>
                <w:b/>
                <w:bCs/>
                <w:color w:val="FFFFFF" w:themeColor="background1"/>
                <w:sz w:val="28"/>
                <w:szCs w:val="28"/>
              </w:rPr>
            </w:pPr>
            <w:r w:rsidRPr="00B36001">
              <w:rPr>
                <w:b/>
                <w:bCs/>
                <w:color w:val="FFFFFF" w:themeColor="background1"/>
                <w:sz w:val="28"/>
                <w:szCs w:val="28"/>
              </w:rPr>
              <w:t>Group</w:t>
            </w:r>
            <w:r w:rsidR="00D20A44" w:rsidRPr="00B36001">
              <w:rPr>
                <w:b/>
                <w:bCs/>
                <w:color w:val="FFFFFF" w:themeColor="background1"/>
                <w:sz w:val="28"/>
                <w:szCs w:val="28"/>
              </w:rPr>
              <w:t xml:space="preserve"> &amp; Number Engaged</w:t>
            </w:r>
          </w:p>
        </w:tc>
        <w:tc>
          <w:tcPr>
            <w:tcW w:w="2338" w:type="dxa"/>
            <w:shd w:val="clear" w:color="auto" w:fill="074F6A" w:themeFill="accent4" w:themeFillShade="80"/>
          </w:tcPr>
          <w:p w14:paraId="29948827" w14:textId="4436E65A" w:rsidR="002A53D7" w:rsidRPr="00B36001" w:rsidRDefault="002A53D7" w:rsidP="002A53D7">
            <w:pPr>
              <w:rPr>
                <w:b/>
                <w:bCs/>
                <w:color w:val="FFFFFF" w:themeColor="background1"/>
                <w:sz w:val="28"/>
                <w:szCs w:val="28"/>
              </w:rPr>
            </w:pPr>
            <w:r w:rsidRPr="00B36001">
              <w:rPr>
                <w:b/>
                <w:bCs/>
                <w:color w:val="FFFFFF" w:themeColor="background1"/>
                <w:sz w:val="28"/>
                <w:szCs w:val="28"/>
              </w:rPr>
              <w:t xml:space="preserve">Detail </w:t>
            </w:r>
          </w:p>
        </w:tc>
        <w:tc>
          <w:tcPr>
            <w:tcW w:w="5741" w:type="dxa"/>
            <w:shd w:val="clear" w:color="auto" w:fill="074F6A" w:themeFill="accent4" w:themeFillShade="80"/>
          </w:tcPr>
          <w:p w14:paraId="42380DF2" w14:textId="0C0F67C3" w:rsidR="002A53D7" w:rsidRPr="00B36001" w:rsidRDefault="002A53D7" w:rsidP="002A53D7">
            <w:pPr>
              <w:rPr>
                <w:b/>
                <w:bCs/>
                <w:color w:val="FFFFFF" w:themeColor="background1"/>
                <w:sz w:val="28"/>
                <w:szCs w:val="28"/>
              </w:rPr>
            </w:pPr>
            <w:r w:rsidRPr="00B36001">
              <w:rPr>
                <w:b/>
                <w:bCs/>
                <w:color w:val="FFFFFF" w:themeColor="background1"/>
                <w:sz w:val="28"/>
                <w:szCs w:val="28"/>
              </w:rPr>
              <w:t xml:space="preserve">Outcome </w:t>
            </w:r>
            <w:r w:rsidR="000D4557" w:rsidRPr="00B36001">
              <w:rPr>
                <w:b/>
                <w:bCs/>
                <w:color w:val="FFFFFF" w:themeColor="background1"/>
                <w:sz w:val="28"/>
                <w:szCs w:val="28"/>
              </w:rPr>
              <w:t>/ Rationale</w:t>
            </w:r>
          </w:p>
        </w:tc>
      </w:tr>
      <w:tr w:rsidR="009F7668" w14:paraId="7D080569" w14:textId="77777777" w:rsidTr="000D4557">
        <w:tc>
          <w:tcPr>
            <w:tcW w:w="2337" w:type="dxa"/>
          </w:tcPr>
          <w:p w14:paraId="4458D964" w14:textId="084A7E1D" w:rsidR="009F7668" w:rsidRPr="00A56F18" w:rsidRDefault="009F7668" w:rsidP="002A53D7">
            <w:r>
              <w:t>9</w:t>
            </w:r>
            <w:r w:rsidRPr="009F7668">
              <w:rPr>
                <w:vertAlign w:val="superscript"/>
              </w:rPr>
              <w:t>th</w:t>
            </w:r>
            <w:r>
              <w:t xml:space="preserve"> </w:t>
            </w:r>
            <w:r w:rsidR="00B740F4">
              <w:t>and 11</w:t>
            </w:r>
            <w:r w:rsidR="00B740F4" w:rsidRPr="00B740F4">
              <w:rPr>
                <w:vertAlign w:val="superscript"/>
              </w:rPr>
              <w:t>th</w:t>
            </w:r>
            <w:r w:rsidR="00B740F4">
              <w:t xml:space="preserve"> April </w:t>
            </w:r>
          </w:p>
        </w:tc>
        <w:tc>
          <w:tcPr>
            <w:tcW w:w="2337" w:type="dxa"/>
          </w:tcPr>
          <w:p w14:paraId="1F98BAAE" w14:textId="3EA28F89" w:rsidR="009F7668" w:rsidRPr="00A56F18" w:rsidRDefault="005C6F0E" w:rsidP="002A53D7">
            <w:r>
              <w:t>Integrated Care Board</w:t>
            </w:r>
          </w:p>
        </w:tc>
        <w:tc>
          <w:tcPr>
            <w:tcW w:w="2338" w:type="dxa"/>
          </w:tcPr>
          <w:p w14:paraId="413E6786" w14:textId="0AAFC735" w:rsidR="009F7668" w:rsidRPr="00A56F18" w:rsidRDefault="005C6F0E" w:rsidP="002A53D7">
            <w:r>
              <w:t>Initial Meetings</w:t>
            </w:r>
          </w:p>
        </w:tc>
        <w:tc>
          <w:tcPr>
            <w:tcW w:w="5741" w:type="dxa"/>
          </w:tcPr>
          <w:p w14:paraId="12165002" w14:textId="1B0A6C72" w:rsidR="009F7668" w:rsidRDefault="005E79CB" w:rsidP="002A53D7">
            <w:r>
              <w:t xml:space="preserve">Meetings with members of the </w:t>
            </w:r>
            <w:r w:rsidR="00D8436E">
              <w:t>Intergraded</w:t>
            </w:r>
            <w:r>
              <w:t xml:space="preserve"> </w:t>
            </w:r>
            <w:r w:rsidR="00D8436E">
              <w:t>Care System to d</w:t>
            </w:r>
            <w:r w:rsidR="00FC7918">
              <w:t xml:space="preserve">iscuss partnership involvement in digital access and inequalities work programme. </w:t>
            </w:r>
          </w:p>
        </w:tc>
      </w:tr>
      <w:tr w:rsidR="002A53D7" w14:paraId="6B6C5992" w14:textId="77777777" w:rsidTr="000D4557">
        <w:tc>
          <w:tcPr>
            <w:tcW w:w="2337" w:type="dxa"/>
          </w:tcPr>
          <w:p w14:paraId="5649DA0C" w14:textId="1BE5EE2D" w:rsidR="002A53D7" w:rsidRPr="00A56F18" w:rsidRDefault="007F74B7" w:rsidP="002A53D7">
            <w:r w:rsidRPr="00A56F18">
              <w:t>16</w:t>
            </w:r>
            <w:r w:rsidRPr="00A56F18">
              <w:rPr>
                <w:vertAlign w:val="superscript"/>
              </w:rPr>
              <w:t>th</w:t>
            </w:r>
            <w:r w:rsidRPr="00A56F18">
              <w:t xml:space="preserve"> April</w:t>
            </w:r>
          </w:p>
        </w:tc>
        <w:tc>
          <w:tcPr>
            <w:tcW w:w="2337" w:type="dxa"/>
          </w:tcPr>
          <w:p w14:paraId="1D071C04" w14:textId="77777777" w:rsidR="002A53D7" w:rsidRDefault="007F74B7" w:rsidP="002A53D7">
            <w:r w:rsidRPr="00A56F18">
              <w:t xml:space="preserve">Friends of Dartmouth Park </w:t>
            </w:r>
          </w:p>
          <w:p w14:paraId="58AA7BD1" w14:textId="77777777" w:rsidR="00B12ECA" w:rsidRDefault="00B12ECA" w:rsidP="002A53D7"/>
          <w:p w14:paraId="6A3EDCFE" w14:textId="6B857AAB" w:rsidR="00B12ECA" w:rsidRPr="00A56F18" w:rsidRDefault="00B12ECA" w:rsidP="002A53D7">
            <w:r>
              <w:t>(70)</w:t>
            </w:r>
          </w:p>
        </w:tc>
        <w:tc>
          <w:tcPr>
            <w:tcW w:w="2338" w:type="dxa"/>
          </w:tcPr>
          <w:p w14:paraId="08B0E5ED" w14:textId="4635675F" w:rsidR="002A53D7" w:rsidRPr="00A56F18" w:rsidRDefault="00A56F18" w:rsidP="002A53D7">
            <w:r w:rsidRPr="00A56F18">
              <w:t xml:space="preserve">General Awareness Rasing of Healthwatch Sandwell </w:t>
            </w:r>
          </w:p>
        </w:tc>
        <w:tc>
          <w:tcPr>
            <w:tcW w:w="5741" w:type="dxa"/>
          </w:tcPr>
          <w:p w14:paraId="05716CEC" w14:textId="1361F887" w:rsidR="002A53D7" w:rsidRPr="00A56F18" w:rsidRDefault="00A56F18" w:rsidP="002A53D7">
            <w:r>
              <w:t xml:space="preserve">Presentation to over 70 </w:t>
            </w:r>
            <w:r w:rsidR="00FD1FE9">
              <w:t xml:space="preserve">members of </w:t>
            </w:r>
            <w:r>
              <w:t xml:space="preserve">Friends of </w:t>
            </w:r>
            <w:r w:rsidR="005D5142">
              <w:t>Group</w:t>
            </w:r>
            <w:r w:rsidR="00283BE2">
              <w:t xml:space="preserve">. Updates given from questions around GP Recovery Plan, </w:t>
            </w:r>
            <w:r w:rsidR="00FD1FE9">
              <w:t xml:space="preserve">and MMUH and </w:t>
            </w:r>
            <w:r w:rsidR="00BE7C9D">
              <w:t xml:space="preserve">how this will impact of Sandwell hospital. </w:t>
            </w:r>
          </w:p>
        </w:tc>
      </w:tr>
      <w:tr w:rsidR="004E7431" w14:paraId="6B2DA161" w14:textId="77777777" w:rsidTr="000D4557">
        <w:tc>
          <w:tcPr>
            <w:tcW w:w="2337" w:type="dxa"/>
          </w:tcPr>
          <w:p w14:paraId="22FC6B2D" w14:textId="64006FE1" w:rsidR="004E7431" w:rsidRPr="00A56F18" w:rsidRDefault="004E7431" w:rsidP="002A53D7">
            <w:r>
              <w:t>24</w:t>
            </w:r>
            <w:r w:rsidRPr="004E7431">
              <w:rPr>
                <w:vertAlign w:val="superscript"/>
              </w:rPr>
              <w:t>th</w:t>
            </w:r>
            <w:r>
              <w:t xml:space="preserve"> April</w:t>
            </w:r>
          </w:p>
        </w:tc>
        <w:tc>
          <w:tcPr>
            <w:tcW w:w="2337" w:type="dxa"/>
          </w:tcPr>
          <w:p w14:paraId="2D285549" w14:textId="77777777" w:rsidR="004E7431" w:rsidRDefault="004E7431" w:rsidP="002A53D7">
            <w:r>
              <w:t xml:space="preserve">Sandwell Health and Care Partnership </w:t>
            </w:r>
          </w:p>
          <w:p w14:paraId="1E8BD81A" w14:textId="77777777" w:rsidR="00B12ECA" w:rsidRDefault="00B12ECA" w:rsidP="002A53D7"/>
          <w:p w14:paraId="48A8661A" w14:textId="60A1CFC0" w:rsidR="00B12ECA" w:rsidRPr="00A56F18" w:rsidRDefault="00B12ECA" w:rsidP="002A53D7">
            <w:r>
              <w:t>(10)</w:t>
            </w:r>
          </w:p>
        </w:tc>
        <w:tc>
          <w:tcPr>
            <w:tcW w:w="2338" w:type="dxa"/>
          </w:tcPr>
          <w:p w14:paraId="7F61DB98" w14:textId="322EA9EB" w:rsidR="004E7431" w:rsidRPr="00A56F18" w:rsidRDefault="00470859" w:rsidP="002A53D7">
            <w:r>
              <w:t>Closer Working Relationships</w:t>
            </w:r>
          </w:p>
        </w:tc>
        <w:tc>
          <w:tcPr>
            <w:tcW w:w="5741" w:type="dxa"/>
          </w:tcPr>
          <w:p w14:paraId="6832427D" w14:textId="0431D606" w:rsidR="004E7431" w:rsidRDefault="003145F5" w:rsidP="002A53D7">
            <w:r>
              <w:t xml:space="preserve">As members of Sandwell Place, the ICS, public health, adult social care, </w:t>
            </w:r>
            <w:r w:rsidR="006612D0">
              <w:t xml:space="preserve">safeguarding and Healthwatch Sandwell held their </w:t>
            </w:r>
            <w:r w:rsidR="00565924">
              <w:t>bimonthly</w:t>
            </w:r>
            <w:r w:rsidR="006612D0">
              <w:t xml:space="preserve"> meeting. This was in order to discuss, closer working relationship, sharing reports through the NHS insight library, priorities for tis group and feeding mechanism to and from the partnership board. </w:t>
            </w:r>
          </w:p>
        </w:tc>
      </w:tr>
      <w:tr w:rsidR="00D1370A" w14:paraId="2F5EF5FD" w14:textId="77777777" w:rsidTr="000D4557">
        <w:tc>
          <w:tcPr>
            <w:tcW w:w="2337" w:type="dxa"/>
          </w:tcPr>
          <w:p w14:paraId="5B2A827C" w14:textId="78BEBD14" w:rsidR="00D1370A" w:rsidRPr="001E00DA" w:rsidRDefault="001E00DA" w:rsidP="002A53D7">
            <w:pPr>
              <w:rPr>
                <w:sz w:val="22"/>
                <w:szCs w:val="22"/>
              </w:rPr>
            </w:pPr>
            <w:r w:rsidRPr="001E00DA">
              <w:rPr>
                <w:sz w:val="22"/>
                <w:szCs w:val="22"/>
              </w:rPr>
              <w:t>29</w:t>
            </w:r>
            <w:r w:rsidRPr="001E00DA">
              <w:rPr>
                <w:sz w:val="22"/>
                <w:szCs w:val="22"/>
                <w:vertAlign w:val="superscript"/>
              </w:rPr>
              <w:t>th</w:t>
            </w:r>
            <w:r w:rsidRPr="001E00DA">
              <w:rPr>
                <w:sz w:val="22"/>
                <w:szCs w:val="22"/>
              </w:rPr>
              <w:t xml:space="preserve"> May</w:t>
            </w:r>
          </w:p>
        </w:tc>
        <w:tc>
          <w:tcPr>
            <w:tcW w:w="2337" w:type="dxa"/>
          </w:tcPr>
          <w:p w14:paraId="7063D25D" w14:textId="77777777" w:rsidR="00D1370A" w:rsidRDefault="001E00DA" w:rsidP="002A53D7">
            <w:pPr>
              <w:rPr>
                <w:sz w:val="22"/>
                <w:szCs w:val="22"/>
              </w:rPr>
            </w:pPr>
            <w:r w:rsidRPr="001E00DA">
              <w:rPr>
                <w:sz w:val="22"/>
                <w:szCs w:val="22"/>
              </w:rPr>
              <w:t>Foster caring Voices Heard Event</w:t>
            </w:r>
          </w:p>
          <w:p w14:paraId="11B172BB" w14:textId="77777777" w:rsidR="00B12ECA" w:rsidRDefault="00B12ECA" w:rsidP="002A53D7">
            <w:pPr>
              <w:rPr>
                <w:sz w:val="22"/>
                <w:szCs w:val="22"/>
              </w:rPr>
            </w:pPr>
          </w:p>
          <w:p w14:paraId="08DCC2BD" w14:textId="471C1918" w:rsidR="00B12ECA" w:rsidRPr="001E00DA" w:rsidRDefault="00B12ECA" w:rsidP="002A53D7">
            <w:pPr>
              <w:rPr>
                <w:sz w:val="22"/>
                <w:szCs w:val="22"/>
              </w:rPr>
            </w:pPr>
            <w:r>
              <w:rPr>
                <w:sz w:val="22"/>
                <w:szCs w:val="22"/>
              </w:rPr>
              <w:t>(20)</w:t>
            </w:r>
          </w:p>
        </w:tc>
        <w:tc>
          <w:tcPr>
            <w:tcW w:w="2338" w:type="dxa"/>
          </w:tcPr>
          <w:p w14:paraId="18279186" w14:textId="4A091693" w:rsidR="00D1370A" w:rsidRPr="001E00DA" w:rsidRDefault="00BE7C9D" w:rsidP="002A53D7">
            <w:pPr>
              <w:rPr>
                <w:sz w:val="22"/>
                <w:szCs w:val="22"/>
              </w:rPr>
            </w:pPr>
            <w:r>
              <w:rPr>
                <w:sz w:val="22"/>
                <w:szCs w:val="22"/>
              </w:rPr>
              <w:t xml:space="preserve">Celebration of Foster caring </w:t>
            </w:r>
            <w:r w:rsidR="00F10C7C">
              <w:rPr>
                <w:sz w:val="22"/>
                <w:szCs w:val="22"/>
              </w:rPr>
              <w:t>in Sandwell and Network</w:t>
            </w:r>
            <w:r w:rsidR="00ED07E6">
              <w:rPr>
                <w:sz w:val="22"/>
                <w:szCs w:val="22"/>
              </w:rPr>
              <w:t xml:space="preserve">ing. </w:t>
            </w:r>
          </w:p>
        </w:tc>
        <w:tc>
          <w:tcPr>
            <w:tcW w:w="5741" w:type="dxa"/>
          </w:tcPr>
          <w:p w14:paraId="2F9BA6D7" w14:textId="07EB7A34" w:rsidR="00D1370A" w:rsidRDefault="003A25F5" w:rsidP="002A53D7">
            <w:pPr>
              <w:rPr>
                <w:sz w:val="22"/>
                <w:szCs w:val="22"/>
              </w:rPr>
            </w:pPr>
            <w:r>
              <w:rPr>
                <w:sz w:val="22"/>
                <w:szCs w:val="22"/>
              </w:rPr>
              <w:t xml:space="preserve">Invited to attend a Foster Carers and fostered </w:t>
            </w:r>
            <w:r w:rsidR="00035FEE">
              <w:rPr>
                <w:sz w:val="22"/>
                <w:szCs w:val="22"/>
              </w:rPr>
              <w:t>children’s</w:t>
            </w:r>
            <w:r w:rsidR="00830193">
              <w:rPr>
                <w:sz w:val="22"/>
                <w:szCs w:val="22"/>
              </w:rPr>
              <w:t xml:space="preserve"> celebration event. Engaged with a number of </w:t>
            </w:r>
            <w:r w:rsidR="00D20A44">
              <w:rPr>
                <w:sz w:val="22"/>
                <w:szCs w:val="22"/>
              </w:rPr>
              <w:t>foster</w:t>
            </w:r>
            <w:r w:rsidR="00830193">
              <w:rPr>
                <w:sz w:val="22"/>
                <w:szCs w:val="22"/>
              </w:rPr>
              <w:t xml:space="preserve"> carers who informed us of some of the </w:t>
            </w:r>
            <w:r w:rsidR="00035FEE">
              <w:rPr>
                <w:sz w:val="22"/>
                <w:szCs w:val="22"/>
              </w:rPr>
              <w:t>challenges in foster or becoming a foster parent:</w:t>
            </w:r>
          </w:p>
          <w:p w14:paraId="5E2045A1" w14:textId="77777777" w:rsidR="00035FEE" w:rsidRDefault="00035FEE" w:rsidP="002A53D7">
            <w:pPr>
              <w:rPr>
                <w:sz w:val="22"/>
                <w:szCs w:val="22"/>
              </w:rPr>
            </w:pPr>
          </w:p>
          <w:p w14:paraId="50A88F46" w14:textId="77777777" w:rsidR="002E49D4" w:rsidRDefault="002E49D4" w:rsidP="002A53D7">
            <w:pPr>
              <w:rPr>
                <w:sz w:val="22"/>
                <w:szCs w:val="22"/>
              </w:rPr>
            </w:pPr>
          </w:p>
          <w:p w14:paraId="41067262" w14:textId="22AD3EAD" w:rsidR="002E49D4" w:rsidRPr="001E00DA" w:rsidRDefault="002E49D4" w:rsidP="002A53D7">
            <w:pPr>
              <w:rPr>
                <w:sz w:val="22"/>
                <w:szCs w:val="22"/>
              </w:rPr>
            </w:pPr>
            <w:r>
              <w:rPr>
                <w:sz w:val="22"/>
                <w:szCs w:val="22"/>
              </w:rPr>
              <w:t xml:space="preserve">Report has been </w:t>
            </w:r>
            <w:r w:rsidR="009343A2">
              <w:rPr>
                <w:sz w:val="22"/>
                <w:szCs w:val="22"/>
              </w:rPr>
              <w:t>published</w:t>
            </w:r>
            <w:r>
              <w:rPr>
                <w:sz w:val="22"/>
                <w:szCs w:val="22"/>
              </w:rPr>
              <w:t xml:space="preserve"> and sent to key stakeholders</w:t>
            </w:r>
            <w:r w:rsidR="009343A2">
              <w:rPr>
                <w:sz w:val="22"/>
                <w:szCs w:val="22"/>
              </w:rPr>
              <w:t xml:space="preserve"> involved in service delivery. </w:t>
            </w:r>
          </w:p>
        </w:tc>
      </w:tr>
      <w:tr w:rsidR="002A53D7" w14:paraId="373C87C3" w14:textId="77777777" w:rsidTr="000D4557">
        <w:tc>
          <w:tcPr>
            <w:tcW w:w="2337" w:type="dxa"/>
          </w:tcPr>
          <w:p w14:paraId="36B52CF3" w14:textId="0F7EFE39" w:rsidR="002A53D7" w:rsidRPr="000149B9" w:rsidRDefault="00F10C7C" w:rsidP="002A53D7">
            <w:r>
              <w:t>9</w:t>
            </w:r>
            <w:r w:rsidRPr="00F10C7C">
              <w:rPr>
                <w:vertAlign w:val="superscript"/>
              </w:rPr>
              <w:t>th</w:t>
            </w:r>
            <w:r>
              <w:t xml:space="preserve"> </w:t>
            </w:r>
            <w:r w:rsidR="002A53D7" w:rsidRPr="000149B9">
              <w:t xml:space="preserve">June </w:t>
            </w:r>
          </w:p>
        </w:tc>
        <w:tc>
          <w:tcPr>
            <w:tcW w:w="2337" w:type="dxa"/>
          </w:tcPr>
          <w:p w14:paraId="5F8A4A4E" w14:textId="041455FE" w:rsidR="002A53D7" w:rsidRPr="000149B9" w:rsidRDefault="00A40F0F" w:rsidP="002A53D7">
            <w:r w:rsidRPr="000149B9">
              <w:t>Orchard and Meadow SEND Schools</w:t>
            </w:r>
          </w:p>
        </w:tc>
        <w:tc>
          <w:tcPr>
            <w:tcW w:w="2338" w:type="dxa"/>
          </w:tcPr>
          <w:p w14:paraId="57517EFB" w14:textId="21C73687" w:rsidR="002A53D7" w:rsidRPr="000149B9" w:rsidRDefault="000D4557" w:rsidP="002A53D7">
            <w:r w:rsidRPr="000149B9">
              <w:t>Meeting with Pastoral Leads to arrange engagement with parents and carers</w:t>
            </w:r>
          </w:p>
        </w:tc>
        <w:tc>
          <w:tcPr>
            <w:tcW w:w="5741" w:type="dxa"/>
          </w:tcPr>
          <w:p w14:paraId="30706653" w14:textId="4EE69E0D" w:rsidR="002A53D7" w:rsidRPr="000149B9" w:rsidRDefault="001705B0" w:rsidP="002A53D7">
            <w:r w:rsidRPr="000149B9">
              <w:t>From some conversations with some parents trying to access EHCP’s we want to talk to parents and carers</w:t>
            </w:r>
            <w:r w:rsidR="003E504F" w:rsidRPr="000149B9">
              <w:t xml:space="preserve"> around the care and support that they receive</w:t>
            </w:r>
          </w:p>
          <w:p w14:paraId="6C814B8E" w14:textId="6E5576D8" w:rsidR="003E504F" w:rsidRPr="000149B9" w:rsidRDefault="003E504F" w:rsidP="002A53D7">
            <w:r w:rsidRPr="000149B9">
              <w:t xml:space="preserve">In the </w:t>
            </w:r>
            <w:r w:rsidR="00B92CA6" w:rsidRPr="000149B9">
              <w:t>initial</w:t>
            </w:r>
            <w:r w:rsidRPr="000149B9">
              <w:t xml:space="preserve"> meetings we were informed that </w:t>
            </w:r>
            <w:r w:rsidR="00B92CA6" w:rsidRPr="000149B9">
              <w:t>many children do don’t received the local offer</w:t>
            </w:r>
            <w:r w:rsidR="000149B9" w:rsidRPr="000149B9">
              <w:t xml:space="preserve"> and mainstream healthcare issues. Planning to </w:t>
            </w:r>
            <w:r w:rsidR="000149B9">
              <w:t xml:space="preserve">arrange to talk to parent groups </w:t>
            </w:r>
            <w:r w:rsidR="002C518E">
              <w:t>once</w:t>
            </w:r>
            <w:r w:rsidR="000149B9">
              <w:t xml:space="preserve"> </w:t>
            </w:r>
            <w:r w:rsidR="002C518E">
              <w:t xml:space="preserve">school term has started but also to look at ways to contact parents during school holidays to discuss resources and care provision. </w:t>
            </w:r>
          </w:p>
        </w:tc>
      </w:tr>
      <w:tr w:rsidR="001E00DA" w14:paraId="1EEC774C" w14:textId="77777777" w:rsidTr="000D4557">
        <w:tc>
          <w:tcPr>
            <w:tcW w:w="2337" w:type="dxa"/>
          </w:tcPr>
          <w:p w14:paraId="11ACC1B1" w14:textId="587A3613" w:rsidR="001E00DA" w:rsidRPr="00A808BE" w:rsidRDefault="001E00DA" w:rsidP="002A53D7">
            <w:r>
              <w:t>10</w:t>
            </w:r>
            <w:r w:rsidRPr="001E00DA">
              <w:rPr>
                <w:vertAlign w:val="superscript"/>
              </w:rPr>
              <w:t>th</w:t>
            </w:r>
            <w:r>
              <w:t xml:space="preserve"> June</w:t>
            </w:r>
          </w:p>
        </w:tc>
        <w:tc>
          <w:tcPr>
            <w:tcW w:w="2337" w:type="dxa"/>
          </w:tcPr>
          <w:p w14:paraId="2B8F5188" w14:textId="5EA5C8FB" w:rsidR="001E00DA" w:rsidRPr="00A808BE" w:rsidRDefault="007F14ED" w:rsidP="002A53D7">
            <w:r>
              <w:t>Eastern European Welfare Association</w:t>
            </w:r>
          </w:p>
        </w:tc>
        <w:tc>
          <w:tcPr>
            <w:tcW w:w="2338" w:type="dxa"/>
          </w:tcPr>
          <w:p w14:paraId="3437AB05" w14:textId="39E9684C" w:rsidR="001E00DA" w:rsidRPr="006F28E9" w:rsidRDefault="007F14ED" w:rsidP="002A53D7">
            <w:r>
              <w:t>Polish Community Accessing Appointments</w:t>
            </w:r>
            <w:r w:rsidR="00EE1E06">
              <w:t xml:space="preserve">, services and care </w:t>
            </w:r>
          </w:p>
        </w:tc>
        <w:tc>
          <w:tcPr>
            <w:tcW w:w="5741" w:type="dxa"/>
          </w:tcPr>
          <w:p w14:paraId="6EB37CEF" w14:textId="665E8D32" w:rsidR="001E00DA" w:rsidRDefault="00EE1E06" w:rsidP="002A53D7">
            <w:r>
              <w:t xml:space="preserve">Meeting with the Manager of EWA at the YMCA in west Bromwich, raise awareness of Healthwatch Sandwell but also give insight into some of the challenges </w:t>
            </w:r>
            <w:r w:rsidR="001A68A5">
              <w:t>faced within the Polish community</w:t>
            </w:r>
            <w:r w:rsidR="005F0EC1">
              <w:t xml:space="preserve">, loss of faith in UTC at </w:t>
            </w:r>
            <w:r w:rsidR="00153713">
              <w:t xml:space="preserve">Sandwell Hospital and also going back to Poland to get over the counter medication in Poland such as antibiotics. </w:t>
            </w:r>
          </w:p>
          <w:p w14:paraId="2BA16ECB" w14:textId="41943F54" w:rsidR="007F14ED" w:rsidRDefault="007F14ED" w:rsidP="002A53D7">
            <w:r>
              <w:t xml:space="preserve">Many Polish ladies choose to go back to Poland to give birth and they feels that the quality of care is much better. </w:t>
            </w:r>
          </w:p>
          <w:p w14:paraId="56A8A5C6" w14:textId="76CCD8AD" w:rsidR="007F14ED" w:rsidRPr="006F28E9" w:rsidRDefault="007F14ED" w:rsidP="002A53D7"/>
        </w:tc>
      </w:tr>
      <w:tr w:rsidR="002A53D7" w14:paraId="07DE8A30" w14:textId="77777777" w:rsidTr="000D4557">
        <w:tc>
          <w:tcPr>
            <w:tcW w:w="2337" w:type="dxa"/>
          </w:tcPr>
          <w:p w14:paraId="28312360" w14:textId="60BEDF44" w:rsidR="002A53D7" w:rsidRPr="00A808BE" w:rsidRDefault="00A808BE" w:rsidP="002A53D7">
            <w:r w:rsidRPr="00A808BE">
              <w:t>11</w:t>
            </w:r>
            <w:r w:rsidRPr="00A808BE">
              <w:rPr>
                <w:vertAlign w:val="superscript"/>
              </w:rPr>
              <w:t>th</w:t>
            </w:r>
            <w:r w:rsidRPr="00A808BE">
              <w:t xml:space="preserve"> June</w:t>
            </w:r>
          </w:p>
        </w:tc>
        <w:tc>
          <w:tcPr>
            <w:tcW w:w="2337" w:type="dxa"/>
          </w:tcPr>
          <w:p w14:paraId="1AC8D36B" w14:textId="77777777" w:rsidR="002A53D7" w:rsidRDefault="00A808BE" w:rsidP="002A53D7">
            <w:r w:rsidRPr="00A808BE">
              <w:t>Carers Team Market Place</w:t>
            </w:r>
          </w:p>
          <w:p w14:paraId="72964B9A" w14:textId="77777777" w:rsidR="00B12ECA" w:rsidRDefault="00B12ECA" w:rsidP="002A53D7"/>
          <w:p w14:paraId="0026E40F" w14:textId="7103E841" w:rsidR="00B12ECA" w:rsidRPr="00A808BE" w:rsidRDefault="00B12ECA" w:rsidP="002A53D7">
            <w:r>
              <w:t>(15)</w:t>
            </w:r>
          </w:p>
        </w:tc>
        <w:tc>
          <w:tcPr>
            <w:tcW w:w="2338" w:type="dxa"/>
          </w:tcPr>
          <w:p w14:paraId="6F07C02E" w14:textId="13FB420C" w:rsidR="002A53D7" w:rsidRPr="006F28E9" w:rsidRDefault="00125506" w:rsidP="002A53D7">
            <w:r w:rsidRPr="006F28E9">
              <w:t xml:space="preserve">Networking Opportunity </w:t>
            </w:r>
          </w:p>
        </w:tc>
        <w:tc>
          <w:tcPr>
            <w:tcW w:w="5741" w:type="dxa"/>
          </w:tcPr>
          <w:p w14:paraId="5DCBDFD9" w14:textId="59232311" w:rsidR="002A53D7" w:rsidRDefault="00A40C57" w:rsidP="002A53D7">
            <w:r w:rsidRPr="006F28E9">
              <w:t xml:space="preserve">Arrangements made to meet up with Sandwell Parents of </w:t>
            </w:r>
            <w:r w:rsidR="00150C61" w:rsidRPr="006F28E9">
              <w:t>Disabled</w:t>
            </w:r>
            <w:r w:rsidRPr="006F28E9">
              <w:t xml:space="preserve"> Children</w:t>
            </w:r>
            <w:r w:rsidR="00150C61">
              <w:t xml:space="preserve"> to capture </w:t>
            </w:r>
            <w:proofErr w:type="spellStart"/>
            <w:r w:rsidR="00150C61">
              <w:t>carer</w:t>
            </w:r>
            <w:proofErr w:type="spellEnd"/>
            <w:r w:rsidR="00150C61">
              <w:t xml:space="preserve"> and family stories. </w:t>
            </w:r>
          </w:p>
          <w:p w14:paraId="17648F6A" w14:textId="5175CB0F" w:rsidR="006F28E9" w:rsidRPr="006F28E9" w:rsidRDefault="006F28E9" w:rsidP="002A53D7">
            <w:r>
              <w:t xml:space="preserve">Also engaged with </w:t>
            </w:r>
            <w:r w:rsidR="00150C61">
              <w:t xml:space="preserve">Sandwell Young Carers, arrangements to be made to talk to young carers around caring responsibilities, support and challenges. </w:t>
            </w:r>
          </w:p>
        </w:tc>
      </w:tr>
      <w:tr w:rsidR="002A53D7" w14:paraId="1EEC6EB3" w14:textId="77777777" w:rsidTr="000D4557">
        <w:tc>
          <w:tcPr>
            <w:tcW w:w="2337" w:type="dxa"/>
          </w:tcPr>
          <w:p w14:paraId="7F67FB25" w14:textId="5226BE49" w:rsidR="002A53D7" w:rsidRPr="000A1261" w:rsidRDefault="000A1261" w:rsidP="002A53D7">
            <w:r w:rsidRPr="000A1261">
              <w:t>26</w:t>
            </w:r>
            <w:r w:rsidRPr="000A1261">
              <w:rPr>
                <w:vertAlign w:val="superscript"/>
              </w:rPr>
              <w:t>th</w:t>
            </w:r>
            <w:r w:rsidRPr="000A1261">
              <w:t xml:space="preserve"> June </w:t>
            </w:r>
          </w:p>
        </w:tc>
        <w:tc>
          <w:tcPr>
            <w:tcW w:w="2337" w:type="dxa"/>
          </w:tcPr>
          <w:p w14:paraId="0612D47E" w14:textId="77777777" w:rsidR="002A53D7" w:rsidRDefault="000A1261" w:rsidP="002A53D7">
            <w:r w:rsidRPr="000A1261">
              <w:t>Sandwell Council Men’s Health Event</w:t>
            </w:r>
          </w:p>
          <w:p w14:paraId="7AA6F8B0" w14:textId="77777777" w:rsidR="00B12ECA" w:rsidRDefault="00B12ECA" w:rsidP="002A53D7"/>
          <w:p w14:paraId="531AC4FC" w14:textId="36AA6F59" w:rsidR="00B12ECA" w:rsidRPr="000A1261" w:rsidRDefault="00B12ECA" w:rsidP="002A53D7">
            <w:r>
              <w:t>(50)</w:t>
            </w:r>
          </w:p>
        </w:tc>
        <w:tc>
          <w:tcPr>
            <w:tcW w:w="2338" w:type="dxa"/>
          </w:tcPr>
          <w:p w14:paraId="4503CBD7" w14:textId="6FAD1A56" w:rsidR="002A53D7" w:rsidRPr="006E1AC8" w:rsidRDefault="006E1AC8" w:rsidP="002A53D7">
            <w:r>
              <w:t xml:space="preserve">Healthwatch Sandwell promotion and engagement opportunity. </w:t>
            </w:r>
          </w:p>
        </w:tc>
        <w:tc>
          <w:tcPr>
            <w:tcW w:w="5741" w:type="dxa"/>
          </w:tcPr>
          <w:p w14:paraId="3DAFDE35" w14:textId="55F34978" w:rsidR="002A53D7" w:rsidRPr="00145C05" w:rsidRDefault="00145C05" w:rsidP="002A53D7">
            <w:r>
              <w:t xml:space="preserve">A range of </w:t>
            </w:r>
            <w:proofErr w:type="spellStart"/>
            <w:r>
              <w:t>heath</w:t>
            </w:r>
            <w:proofErr w:type="spellEnd"/>
            <w:r>
              <w:t xml:space="preserve"> </w:t>
            </w:r>
            <w:r w:rsidR="00B44359">
              <w:t>initiatives</w:t>
            </w:r>
            <w:r>
              <w:t xml:space="preserve"> and advice </w:t>
            </w:r>
            <w:r w:rsidR="00B44359">
              <w:t xml:space="preserve">at Sandwell Council </w:t>
            </w:r>
            <w:r w:rsidR="000533B4">
              <w:t>Men’s</w:t>
            </w:r>
            <w:r w:rsidR="00B44359">
              <w:t xml:space="preserve"> Health event. </w:t>
            </w:r>
            <w:r w:rsidR="000533B4">
              <w:t xml:space="preserve">Intelligence gathered around GP access and the use of digital platforms to arrange appointments. </w:t>
            </w:r>
          </w:p>
        </w:tc>
      </w:tr>
      <w:tr w:rsidR="00322CE4" w14:paraId="57E3FC5C" w14:textId="77777777" w:rsidTr="000D4557">
        <w:tc>
          <w:tcPr>
            <w:tcW w:w="2337" w:type="dxa"/>
          </w:tcPr>
          <w:p w14:paraId="6B59A575" w14:textId="1A65E071" w:rsidR="00322CE4" w:rsidRPr="00B36705" w:rsidRDefault="00322CE4" w:rsidP="002A53D7">
            <w:r>
              <w:t>2</w:t>
            </w:r>
            <w:r w:rsidRPr="00322CE4">
              <w:rPr>
                <w:vertAlign w:val="superscript"/>
              </w:rPr>
              <w:t>nd</w:t>
            </w:r>
            <w:r>
              <w:t xml:space="preserve"> July</w:t>
            </w:r>
          </w:p>
        </w:tc>
        <w:tc>
          <w:tcPr>
            <w:tcW w:w="2337" w:type="dxa"/>
          </w:tcPr>
          <w:p w14:paraId="692D756F" w14:textId="1CC2003C" w:rsidR="00322CE4" w:rsidRPr="00B36705" w:rsidRDefault="00322CE4" w:rsidP="002A53D7">
            <w:r>
              <w:t>Portway Family Practice</w:t>
            </w:r>
          </w:p>
        </w:tc>
        <w:tc>
          <w:tcPr>
            <w:tcW w:w="2338" w:type="dxa"/>
          </w:tcPr>
          <w:p w14:paraId="0FFF0DF3" w14:textId="7A1DF78D" w:rsidR="00322CE4" w:rsidRDefault="00322CE4" w:rsidP="002A53D7">
            <w:r>
              <w:t>Digital Access and Inequalities Project</w:t>
            </w:r>
          </w:p>
        </w:tc>
        <w:tc>
          <w:tcPr>
            <w:tcW w:w="5741" w:type="dxa"/>
          </w:tcPr>
          <w:p w14:paraId="3E12B4AC" w14:textId="77777777" w:rsidR="00322CE4" w:rsidRDefault="00322CE4" w:rsidP="002A53D7">
            <w:r>
              <w:t>Discussion with the Practice Manager a</w:t>
            </w:r>
            <w:r w:rsidR="008E4D15">
              <w:t>nd PCN Lead on the partnership.</w:t>
            </w:r>
          </w:p>
          <w:p w14:paraId="080DBD03" w14:textId="77777777" w:rsidR="008E4D15" w:rsidRDefault="008E4D15" w:rsidP="002A53D7"/>
          <w:p w14:paraId="46C6E8F6" w14:textId="0060247D" w:rsidR="008E4D15" w:rsidRDefault="008E4D15" w:rsidP="002A53D7">
            <w:r>
              <w:t xml:space="preserve">PCN lead to raise the Healthwatch digital access projects at </w:t>
            </w:r>
            <w:r w:rsidR="00C52E9E">
              <w:t xml:space="preserve">borough PCN Lead meeting. </w:t>
            </w:r>
          </w:p>
        </w:tc>
      </w:tr>
      <w:tr w:rsidR="002A53D7" w14:paraId="791C551B" w14:textId="77777777" w:rsidTr="000D4557">
        <w:tc>
          <w:tcPr>
            <w:tcW w:w="2337" w:type="dxa"/>
          </w:tcPr>
          <w:p w14:paraId="6F5F7B87" w14:textId="3A6A23D7" w:rsidR="002A53D7" w:rsidRPr="00B36705" w:rsidRDefault="00AE1044" w:rsidP="002A53D7">
            <w:r w:rsidRPr="00B36705">
              <w:t>4</w:t>
            </w:r>
            <w:r w:rsidRPr="00B36705">
              <w:rPr>
                <w:vertAlign w:val="superscript"/>
              </w:rPr>
              <w:t>th</w:t>
            </w:r>
            <w:r w:rsidRPr="00B36705">
              <w:t xml:space="preserve"> July</w:t>
            </w:r>
          </w:p>
        </w:tc>
        <w:tc>
          <w:tcPr>
            <w:tcW w:w="2337" w:type="dxa"/>
          </w:tcPr>
          <w:p w14:paraId="6877F546" w14:textId="77777777" w:rsidR="002A53D7" w:rsidRDefault="00B36705" w:rsidP="002A53D7">
            <w:r w:rsidRPr="00B36705">
              <w:t xml:space="preserve">Sandwell Hospital general outreach. </w:t>
            </w:r>
          </w:p>
          <w:p w14:paraId="4D9FBD4D" w14:textId="77777777" w:rsidR="00B12ECA" w:rsidRDefault="00B12ECA" w:rsidP="002A53D7"/>
          <w:p w14:paraId="3D12D438" w14:textId="6BB2F7DE" w:rsidR="00B12ECA" w:rsidRPr="00B36705" w:rsidRDefault="00B12ECA" w:rsidP="002A53D7">
            <w:r>
              <w:t>(30)</w:t>
            </w:r>
          </w:p>
        </w:tc>
        <w:tc>
          <w:tcPr>
            <w:tcW w:w="2338" w:type="dxa"/>
          </w:tcPr>
          <w:p w14:paraId="16642AA8" w14:textId="7C194685" w:rsidR="002A53D7" w:rsidRPr="00B36705" w:rsidRDefault="00E71E9D" w:rsidP="002A53D7">
            <w:r>
              <w:t xml:space="preserve">General awareness raising of Healthwatch Sandwell </w:t>
            </w:r>
          </w:p>
        </w:tc>
        <w:tc>
          <w:tcPr>
            <w:tcW w:w="5741" w:type="dxa"/>
          </w:tcPr>
          <w:p w14:paraId="0879765C" w14:textId="1E97A86F" w:rsidR="002A53D7" w:rsidRDefault="00E71E9D" w:rsidP="002A53D7">
            <w:r>
              <w:t xml:space="preserve">Opportunity to talk to staff and patients around the </w:t>
            </w:r>
            <w:r w:rsidR="0055605A">
              <w:t>care provided at Sandwell hospital, appointments</w:t>
            </w:r>
            <w:r w:rsidR="00ED68B7">
              <w:t xml:space="preserve">. Staff member highlighted issue around staff not feeding vulnerable patients but also spending </w:t>
            </w:r>
            <w:r w:rsidR="00862F9B">
              <w:t xml:space="preserve">too much time on social media during work hours. </w:t>
            </w:r>
          </w:p>
          <w:p w14:paraId="1BC53F5B" w14:textId="719028EC" w:rsidR="00B36705" w:rsidRPr="00B36705" w:rsidRDefault="00B36705" w:rsidP="002A53D7">
            <w:r>
              <w:t xml:space="preserve">Adult safeguarding raised </w:t>
            </w:r>
            <w:r w:rsidR="00EB4E6E">
              <w:t xml:space="preserve">around a </w:t>
            </w:r>
            <w:proofErr w:type="gramStart"/>
            <w:r w:rsidR="00EB4E6E">
              <w:t>ladies</w:t>
            </w:r>
            <w:proofErr w:type="gramEnd"/>
            <w:r w:rsidR="00EB4E6E">
              <w:t xml:space="preserve"> care at home and the care provider. </w:t>
            </w:r>
          </w:p>
        </w:tc>
      </w:tr>
      <w:tr w:rsidR="002A53D7" w14:paraId="3474A2D0" w14:textId="77777777" w:rsidTr="000D4557">
        <w:tc>
          <w:tcPr>
            <w:tcW w:w="2337" w:type="dxa"/>
          </w:tcPr>
          <w:p w14:paraId="4EF9DED9" w14:textId="5E923967" w:rsidR="002A53D7" w:rsidRPr="009425A7" w:rsidRDefault="003A005C" w:rsidP="002A53D7">
            <w:r w:rsidRPr="009425A7">
              <w:t>6</w:t>
            </w:r>
            <w:r w:rsidRPr="009425A7">
              <w:rPr>
                <w:vertAlign w:val="superscript"/>
              </w:rPr>
              <w:t>th</w:t>
            </w:r>
            <w:r w:rsidRPr="009425A7">
              <w:t xml:space="preserve"> July</w:t>
            </w:r>
          </w:p>
        </w:tc>
        <w:tc>
          <w:tcPr>
            <w:tcW w:w="2337" w:type="dxa"/>
          </w:tcPr>
          <w:p w14:paraId="4F63BD6E" w14:textId="77777777" w:rsidR="002A53D7" w:rsidRDefault="00B665BA" w:rsidP="002A53D7">
            <w:r w:rsidRPr="009425A7">
              <w:t>Cancer Support Event</w:t>
            </w:r>
          </w:p>
          <w:p w14:paraId="48588685" w14:textId="77777777" w:rsidR="00B12ECA" w:rsidRDefault="00B12ECA" w:rsidP="002A53D7"/>
          <w:p w14:paraId="62E7165A" w14:textId="2786CB0C" w:rsidR="00B12ECA" w:rsidRPr="009425A7" w:rsidRDefault="005C6F0E" w:rsidP="002A53D7">
            <w:r>
              <w:t>(30)</w:t>
            </w:r>
          </w:p>
        </w:tc>
        <w:tc>
          <w:tcPr>
            <w:tcW w:w="2338" w:type="dxa"/>
          </w:tcPr>
          <w:p w14:paraId="56516DA2" w14:textId="4F0D5C95" w:rsidR="002A53D7" w:rsidRPr="009425A7" w:rsidRDefault="00B665BA" w:rsidP="002A53D7">
            <w:r w:rsidRPr="009425A7">
              <w:t xml:space="preserve">Opportunity for </w:t>
            </w:r>
            <w:r w:rsidR="000533B4">
              <w:t xml:space="preserve">Healthwatch Promotion and </w:t>
            </w:r>
            <w:r w:rsidR="00537B03">
              <w:t>intelligence gathering</w:t>
            </w:r>
          </w:p>
        </w:tc>
        <w:tc>
          <w:tcPr>
            <w:tcW w:w="5741" w:type="dxa"/>
          </w:tcPr>
          <w:p w14:paraId="0CE7D21F" w14:textId="615F31F8" w:rsidR="002A53D7" w:rsidRPr="009425A7" w:rsidRDefault="00B665BA" w:rsidP="002A53D7">
            <w:r w:rsidRPr="009425A7">
              <w:t>West Bromwich Albion Football Ground over 20</w:t>
            </w:r>
            <w:r w:rsidR="009425A7" w:rsidRPr="009425A7">
              <w:t>0 local people and carers</w:t>
            </w:r>
            <w:r w:rsidR="009425A7">
              <w:t xml:space="preserve"> affected by Cancer.</w:t>
            </w:r>
            <w:r w:rsidR="00537B03">
              <w:t xml:space="preserve"> A range of health and wellness opportunities. Intel gathered </w:t>
            </w:r>
            <w:r w:rsidR="00D73E78">
              <w:t xml:space="preserve">around care pathways from GP, communication and </w:t>
            </w:r>
            <w:r w:rsidR="00793CFF">
              <w:t xml:space="preserve">issues with some breast prosthetics in relation to ethnicity and colouring. </w:t>
            </w:r>
          </w:p>
        </w:tc>
      </w:tr>
      <w:tr w:rsidR="002A53D7" w14:paraId="534280D0" w14:textId="77777777" w:rsidTr="000D4557">
        <w:tc>
          <w:tcPr>
            <w:tcW w:w="2337" w:type="dxa"/>
          </w:tcPr>
          <w:p w14:paraId="7996DE33" w14:textId="7D02994B" w:rsidR="002A53D7" w:rsidRPr="00497364" w:rsidRDefault="00497364" w:rsidP="002A53D7">
            <w:r w:rsidRPr="00497364">
              <w:t>9</w:t>
            </w:r>
            <w:r w:rsidRPr="00497364">
              <w:rPr>
                <w:vertAlign w:val="superscript"/>
              </w:rPr>
              <w:t>th</w:t>
            </w:r>
            <w:r w:rsidRPr="00497364">
              <w:t xml:space="preserve"> July</w:t>
            </w:r>
          </w:p>
        </w:tc>
        <w:tc>
          <w:tcPr>
            <w:tcW w:w="2337" w:type="dxa"/>
          </w:tcPr>
          <w:p w14:paraId="1D940924" w14:textId="77777777" w:rsidR="002A53D7" w:rsidRDefault="00497364" w:rsidP="002A53D7">
            <w:r w:rsidRPr="00497364">
              <w:t xml:space="preserve">Bangladeshi </w:t>
            </w:r>
            <w:r w:rsidR="00B05BC6" w:rsidRPr="00497364">
              <w:t>Men’s</w:t>
            </w:r>
            <w:r w:rsidRPr="00497364">
              <w:t xml:space="preserve"> and </w:t>
            </w:r>
            <w:r w:rsidR="00B05BC6" w:rsidRPr="00497364">
              <w:t>Women’s</w:t>
            </w:r>
            <w:r w:rsidR="00B05BC6">
              <w:t xml:space="preserve"> ESOL Groups</w:t>
            </w:r>
          </w:p>
          <w:p w14:paraId="5E9A3A6D" w14:textId="77777777" w:rsidR="005C6F0E" w:rsidRDefault="005C6F0E" w:rsidP="002A53D7"/>
          <w:p w14:paraId="2BD74629" w14:textId="687658A6" w:rsidR="005C6F0E" w:rsidRPr="00497364" w:rsidRDefault="005C6F0E" w:rsidP="002A53D7">
            <w:r>
              <w:t>(25)</w:t>
            </w:r>
          </w:p>
        </w:tc>
        <w:tc>
          <w:tcPr>
            <w:tcW w:w="2338" w:type="dxa"/>
          </w:tcPr>
          <w:p w14:paraId="7CAB61A4" w14:textId="7C002A74" w:rsidR="002A53D7" w:rsidRPr="00B05BC6" w:rsidRDefault="00B05BC6" w:rsidP="002A53D7">
            <w:r w:rsidRPr="00B05BC6">
              <w:t>Digital Access Project</w:t>
            </w:r>
          </w:p>
        </w:tc>
        <w:tc>
          <w:tcPr>
            <w:tcW w:w="5741" w:type="dxa"/>
          </w:tcPr>
          <w:p w14:paraId="2A0E1997" w14:textId="4E05DF34" w:rsidR="002A53D7" w:rsidRPr="00E84828" w:rsidRDefault="00E84828" w:rsidP="002A53D7">
            <w:r>
              <w:t xml:space="preserve">Talking to </w:t>
            </w:r>
            <w:r w:rsidR="003D3203">
              <w:t xml:space="preserve">2 groups of </w:t>
            </w:r>
            <w:r w:rsidR="00A837C7">
              <w:t>Bangladeshi</w:t>
            </w:r>
            <w:r w:rsidR="003D3203">
              <w:t xml:space="preserve"> men and women around </w:t>
            </w:r>
            <w:r w:rsidR="00A837C7">
              <w:t xml:space="preserve">digital GP access, NHS app use and booking appointments. </w:t>
            </w:r>
          </w:p>
          <w:p w14:paraId="55CDCD1C" w14:textId="2B622E29" w:rsidR="00B05BC6" w:rsidRPr="00E76334" w:rsidRDefault="00B05BC6" w:rsidP="002A53D7">
            <w:r w:rsidRPr="00E76334">
              <w:t xml:space="preserve">Training to be arranged around using digital </w:t>
            </w:r>
            <w:r w:rsidR="00E76334" w:rsidRPr="00E76334">
              <w:t xml:space="preserve">apps in September with the groups and ICB digital lead. </w:t>
            </w:r>
          </w:p>
        </w:tc>
      </w:tr>
    </w:tbl>
    <w:p w14:paraId="06468D84" w14:textId="77777777" w:rsidR="0048280E" w:rsidRPr="009A30DD" w:rsidRDefault="0048280E">
      <w:pPr>
        <w:rPr>
          <w:sz w:val="36"/>
          <w:szCs w:val="36"/>
        </w:rPr>
      </w:pPr>
    </w:p>
    <w:sectPr w:rsidR="0048280E" w:rsidRPr="009A30DD" w:rsidSect="002A53D7">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75880" w14:textId="77777777" w:rsidR="003B7CF3" w:rsidRDefault="003B7CF3" w:rsidP="00475B8F">
      <w:pPr>
        <w:spacing w:after="0" w:line="240" w:lineRule="auto"/>
      </w:pPr>
      <w:r>
        <w:separator/>
      </w:r>
    </w:p>
  </w:endnote>
  <w:endnote w:type="continuationSeparator" w:id="0">
    <w:p w14:paraId="3B735173" w14:textId="77777777" w:rsidR="003B7CF3" w:rsidRDefault="003B7CF3" w:rsidP="0047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792853"/>
      <w:docPartObj>
        <w:docPartGallery w:val="Page Numbers (Bottom of Page)"/>
        <w:docPartUnique/>
      </w:docPartObj>
    </w:sdtPr>
    <w:sdtEndPr>
      <w:rPr>
        <w:color w:val="7F7F7F" w:themeColor="background1" w:themeShade="7F"/>
        <w:spacing w:val="60"/>
        <w:lang w:val="en-GB"/>
      </w:rPr>
    </w:sdtEndPr>
    <w:sdtContent>
      <w:p w14:paraId="26007439" w14:textId="615CD436" w:rsidR="001A1C98" w:rsidRDefault="001A1C98">
        <w:pPr>
          <w:pStyle w:val="Footer"/>
          <w:pBdr>
            <w:top w:val="single" w:sz="4" w:space="1" w:color="D9D9D9" w:themeColor="background1" w:themeShade="D9"/>
          </w:pBdr>
          <w:rPr>
            <w:b/>
            <w:bCs/>
          </w:rPr>
        </w:pPr>
        <w:r>
          <w:fldChar w:fldCharType="begin"/>
        </w:r>
        <w:r>
          <w:instrText>PAGE   \* MERGEFORMAT</w:instrText>
        </w:r>
        <w:r>
          <w:fldChar w:fldCharType="separate"/>
        </w:r>
        <w:r>
          <w:rPr>
            <w:b/>
            <w:bCs/>
            <w:lang w:val="en-GB"/>
          </w:rPr>
          <w:t>2</w:t>
        </w:r>
        <w:r>
          <w:rPr>
            <w:b/>
            <w:bCs/>
          </w:rPr>
          <w:fldChar w:fldCharType="end"/>
        </w:r>
        <w:r>
          <w:rPr>
            <w:b/>
            <w:bCs/>
            <w:lang w:val="en-GB"/>
          </w:rPr>
          <w:t xml:space="preserve"> | </w:t>
        </w:r>
        <w:r>
          <w:rPr>
            <w:color w:val="7F7F7F" w:themeColor="background1" w:themeShade="7F"/>
            <w:spacing w:val="60"/>
            <w:lang w:val="en-GB"/>
          </w:rPr>
          <w:t>Page</w:t>
        </w:r>
      </w:p>
    </w:sdtContent>
  </w:sdt>
  <w:p w14:paraId="4ABDC9A1" w14:textId="77777777" w:rsidR="001A1C98" w:rsidRDefault="001A1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9EE20" w14:textId="77777777" w:rsidR="003B7CF3" w:rsidRDefault="003B7CF3" w:rsidP="00475B8F">
      <w:pPr>
        <w:spacing w:after="0" w:line="240" w:lineRule="auto"/>
      </w:pPr>
      <w:r>
        <w:separator/>
      </w:r>
    </w:p>
  </w:footnote>
  <w:footnote w:type="continuationSeparator" w:id="0">
    <w:p w14:paraId="0CBE6451" w14:textId="77777777" w:rsidR="003B7CF3" w:rsidRDefault="003B7CF3" w:rsidP="00475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42A9" w14:textId="4CD74A5C" w:rsidR="00475B8F" w:rsidRPr="00547BAF" w:rsidRDefault="00475B8F">
    <w:pPr>
      <w:pStyle w:val="Header"/>
      <w:rPr>
        <w:b/>
        <w:bCs/>
        <w:sz w:val="32"/>
        <w:szCs w:val="32"/>
      </w:rPr>
    </w:pPr>
    <w:r w:rsidRPr="00547BAF">
      <w:rPr>
        <w:b/>
        <w:bCs/>
        <w:sz w:val="32"/>
        <w:szCs w:val="32"/>
      </w:rPr>
      <w:t xml:space="preserve">Enc </w:t>
    </w:r>
    <w:r w:rsidR="001A1C98" w:rsidRPr="00547BAF">
      <w:rPr>
        <w:b/>
        <w:bCs/>
        <w:sz w:val="32"/>
        <w:szCs w:val="32"/>
      </w:rPr>
      <w:t>7</w:t>
    </w:r>
  </w:p>
  <w:p w14:paraId="14B9769D" w14:textId="77777777" w:rsidR="001A1C98" w:rsidRDefault="001A1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82148"/>
    <w:multiLevelType w:val="hybridMultilevel"/>
    <w:tmpl w:val="1722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0B0BB8"/>
    <w:multiLevelType w:val="hybridMultilevel"/>
    <w:tmpl w:val="817A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262937">
    <w:abstractNumId w:val="1"/>
  </w:num>
  <w:num w:numId="2" w16cid:durableId="176568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BEB72"/>
    <w:rsid w:val="000149B9"/>
    <w:rsid w:val="00035FEE"/>
    <w:rsid w:val="000533B4"/>
    <w:rsid w:val="000A1261"/>
    <w:rsid w:val="000D4557"/>
    <w:rsid w:val="00125506"/>
    <w:rsid w:val="00145C05"/>
    <w:rsid w:val="00150C61"/>
    <w:rsid w:val="00153713"/>
    <w:rsid w:val="001705B0"/>
    <w:rsid w:val="001A1C98"/>
    <w:rsid w:val="001A68A5"/>
    <w:rsid w:val="001E00DA"/>
    <w:rsid w:val="00283BE2"/>
    <w:rsid w:val="002A53D7"/>
    <w:rsid w:val="002C518E"/>
    <w:rsid w:val="002E49D4"/>
    <w:rsid w:val="003145F5"/>
    <w:rsid w:val="00322CE4"/>
    <w:rsid w:val="003A005C"/>
    <w:rsid w:val="003A25F5"/>
    <w:rsid w:val="003B7CF3"/>
    <w:rsid w:val="003D3203"/>
    <w:rsid w:val="003E504F"/>
    <w:rsid w:val="0044071D"/>
    <w:rsid w:val="00470859"/>
    <w:rsid w:val="00475B8F"/>
    <w:rsid w:val="0048280E"/>
    <w:rsid w:val="00497364"/>
    <w:rsid w:val="004E7431"/>
    <w:rsid w:val="00537B03"/>
    <w:rsid w:val="00547BAF"/>
    <w:rsid w:val="0055605A"/>
    <w:rsid w:val="00560F61"/>
    <w:rsid w:val="00565924"/>
    <w:rsid w:val="005C6F0E"/>
    <w:rsid w:val="005D5142"/>
    <w:rsid w:val="005E79CB"/>
    <w:rsid w:val="005F0EC1"/>
    <w:rsid w:val="00657FA4"/>
    <w:rsid w:val="006612D0"/>
    <w:rsid w:val="006E1AC8"/>
    <w:rsid w:val="006F28E9"/>
    <w:rsid w:val="00793CFF"/>
    <w:rsid w:val="007F14ED"/>
    <w:rsid w:val="007F74B7"/>
    <w:rsid w:val="008217E3"/>
    <w:rsid w:val="00830193"/>
    <w:rsid w:val="00854958"/>
    <w:rsid w:val="00862F9B"/>
    <w:rsid w:val="008D214B"/>
    <w:rsid w:val="008E4D15"/>
    <w:rsid w:val="009343A2"/>
    <w:rsid w:val="009425A7"/>
    <w:rsid w:val="009958F9"/>
    <w:rsid w:val="009A30DD"/>
    <w:rsid w:val="009F7668"/>
    <w:rsid w:val="00A40C57"/>
    <w:rsid w:val="00A40F0F"/>
    <w:rsid w:val="00A56F18"/>
    <w:rsid w:val="00A76640"/>
    <w:rsid w:val="00A808BE"/>
    <w:rsid w:val="00A837C7"/>
    <w:rsid w:val="00AE1044"/>
    <w:rsid w:val="00B05BC6"/>
    <w:rsid w:val="00B12ECA"/>
    <w:rsid w:val="00B36001"/>
    <w:rsid w:val="00B36705"/>
    <w:rsid w:val="00B44359"/>
    <w:rsid w:val="00B665BA"/>
    <w:rsid w:val="00B740F4"/>
    <w:rsid w:val="00B92CA6"/>
    <w:rsid w:val="00BA7AA5"/>
    <w:rsid w:val="00BB7DB8"/>
    <w:rsid w:val="00BE7C9D"/>
    <w:rsid w:val="00C52E9E"/>
    <w:rsid w:val="00C60D31"/>
    <w:rsid w:val="00D1370A"/>
    <w:rsid w:val="00D20A44"/>
    <w:rsid w:val="00D73E78"/>
    <w:rsid w:val="00D8436E"/>
    <w:rsid w:val="00E71E9D"/>
    <w:rsid w:val="00E76334"/>
    <w:rsid w:val="00E84828"/>
    <w:rsid w:val="00EB4E6E"/>
    <w:rsid w:val="00ED07E6"/>
    <w:rsid w:val="00ED68B7"/>
    <w:rsid w:val="00EE1E06"/>
    <w:rsid w:val="00F10C7C"/>
    <w:rsid w:val="00FA4171"/>
    <w:rsid w:val="00FC7918"/>
    <w:rsid w:val="00FD1FE9"/>
    <w:rsid w:val="31DBE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EB72"/>
  <w15:chartTrackingRefBased/>
  <w15:docId w15:val="{7B6D8F0E-295E-4CC0-AD2F-4418ABF4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9A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71"/>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markjm6u4cxpe">
    <w:name w:val="markjm6u4cxpe"/>
    <w:basedOn w:val="DefaultParagraphFont"/>
    <w:rsid w:val="002E49D4"/>
  </w:style>
  <w:style w:type="paragraph" w:styleId="Header">
    <w:name w:val="header"/>
    <w:basedOn w:val="Normal"/>
    <w:link w:val="HeaderChar"/>
    <w:uiPriority w:val="99"/>
    <w:unhideWhenUsed/>
    <w:rsid w:val="00475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B8F"/>
  </w:style>
  <w:style w:type="paragraph" w:styleId="Footer">
    <w:name w:val="footer"/>
    <w:basedOn w:val="Normal"/>
    <w:link w:val="FooterChar"/>
    <w:uiPriority w:val="99"/>
    <w:unhideWhenUsed/>
    <w:rsid w:val="00475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08887">
      <w:bodyDiv w:val="1"/>
      <w:marLeft w:val="0"/>
      <w:marRight w:val="0"/>
      <w:marTop w:val="0"/>
      <w:marBottom w:val="0"/>
      <w:divBdr>
        <w:top w:val="none" w:sz="0" w:space="0" w:color="auto"/>
        <w:left w:val="none" w:sz="0" w:space="0" w:color="auto"/>
        <w:bottom w:val="none" w:sz="0" w:space="0" w:color="auto"/>
        <w:right w:val="none" w:sz="0" w:space="0" w:color="auto"/>
      </w:divBdr>
      <w:divsChild>
        <w:div w:id="1142962470">
          <w:marLeft w:val="0"/>
          <w:marRight w:val="0"/>
          <w:marTop w:val="0"/>
          <w:marBottom w:val="0"/>
          <w:divBdr>
            <w:top w:val="none" w:sz="0" w:space="0" w:color="auto"/>
            <w:left w:val="none" w:sz="0" w:space="0" w:color="auto"/>
            <w:bottom w:val="none" w:sz="0" w:space="0" w:color="auto"/>
            <w:right w:val="none" w:sz="0" w:space="0" w:color="auto"/>
          </w:divBdr>
          <w:divsChild>
            <w:div w:id="25716198">
              <w:marLeft w:val="0"/>
              <w:marRight w:val="0"/>
              <w:marTop w:val="0"/>
              <w:marBottom w:val="0"/>
              <w:divBdr>
                <w:top w:val="none" w:sz="0" w:space="0" w:color="auto"/>
                <w:left w:val="none" w:sz="0" w:space="0" w:color="auto"/>
                <w:bottom w:val="none" w:sz="0" w:space="0" w:color="auto"/>
                <w:right w:val="none" w:sz="0" w:space="0" w:color="auto"/>
              </w:divBdr>
            </w:div>
          </w:divsChild>
        </w:div>
        <w:div w:id="2084793070">
          <w:marLeft w:val="0"/>
          <w:marRight w:val="0"/>
          <w:marTop w:val="0"/>
          <w:marBottom w:val="0"/>
          <w:divBdr>
            <w:top w:val="none" w:sz="0" w:space="0" w:color="auto"/>
            <w:left w:val="none" w:sz="0" w:space="0" w:color="auto"/>
            <w:bottom w:val="none" w:sz="0" w:space="0" w:color="auto"/>
            <w:right w:val="none" w:sz="0" w:space="0" w:color="auto"/>
          </w:divBdr>
        </w:div>
        <w:div w:id="1135023490">
          <w:marLeft w:val="0"/>
          <w:marRight w:val="0"/>
          <w:marTop w:val="0"/>
          <w:marBottom w:val="0"/>
          <w:divBdr>
            <w:top w:val="none" w:sz="0" w:space="0" w:color="auto"/>
            <w:left w:val="none" w:sz="0" w:space="0" w:color="auto"/>
            <w:bottom w:val="none" w:sz="0" w:space="0" w:color="auto"/>
            <w:right w:val="none" w:sz="0" w:space="0" w:color="auto"/>
          </w:divBdr>
        </w:div>
        <w:div w:id="670765533">
          <w:marLeft w:val="0"/>
          <w:marRight w:val="0"/>
          <w:marTop w:val="0"/>
          <w:marBottom w:val="0"/>
          <w:divBdr>
            <w:top w:val="none" w:sz="0" w:space="0" w:color="auto"/>
            <w:left w:val="none" w:sz="0" w:space="0" w:color="auto"/>
            <w:bottom w:val="none" w:sz="0" w:space="0" w:color="auto"/>
            <w:right w:val="none" w:sz="0" w:space="0" w:color="auto"/>
          </w:divBdr>
        </w:div>
        <w:div w:id="1483695759">
          <w:marLeft w:val="0"/>
          <w:marRight w:val="0"/>
          <w:marTop w:val="0"/>
          <w:marBottom w:val="0"/>
          <w:divBdr>
            <w:top w:val="none" w:sz="0" w:space="0" w:color="auto"/>
            <w:left w:val="none" w:sz="0" w:space="0" w:color="auto"/>
            <w:bottom w:val="none" w:sz="0" w:space="0" w:color="auto"/>
            <w:right w:val="none" w:sz="0" w:space="0" w:color="auto"/>
          </w:divBdr>
        </w:div>
        <w:div w:id="445346476">
          <w:marLeft w:val="0"/>
          <w:marRight w:val="0"/>
          <w:marTop w:val="0"/>
          <w:marBottom w:val="0"/>
          <w:divBdr>
            <w:top w:val="none" w:sz="0" w:space="0" w:color="auto"/>
            <w:left w:val="none" w:sz="0" w:space="0" w:color="auto"/>
            <w:bottom w:val="none" w:sz="0" w:space="0" w:color="auto"/>
            <w:right w:val="none" w:sz="0" w:space="0" w:color="auto"/>
          </w:divBdr>
        </w:div>
        <w:div w:id="1260597362">
          <w:marLeft w:val="0"/>
          <w:marRight w:val="0"/>
          <w:marTop w:val="0"/>
          <w:marBottom w:val="0"/>
          <w:divBdr>
            <w:top w:val="none" w:sz="0" w:space="0" w:color="auto"/>
            <w:left w:val="none" w:sz="0" w:space="0" w:color="auto"/>
            <w:bottom w:val="none" w:sz="0" w:space="0" w:color="auto"/>
            <w:right w:val="none" w:sz="0" w:space="0" w:color="auto"/>
          </w:divBdr>
        </w:div>
        <w:div w:id="527917138">
          <w:marLeft w:val="0"/>
          <w:marRight w:val="0"/>
          <w:marTop w:val="0"/>
          <w:marBottom w:val="0"/>
          <w:divBdr>
            <w:top w:val="none" w:sz="0" w:space="0" w:color="auto"/>
            <w:left w:val="none" w:sz="0" w:space="0" w:color="auto"/>
            <w:bottom w:val="none" w:sz="0" w:space="0" w:color="auto"/>
            <w:right w:val="none" w:sz="0" w:space="0" w:color="auto"/>
          </w:divBdr>
        </w:div>
        <w:div w:id="1519347580">
          <w:marLeft w:val="0"/>
          <w:marRight w:val="0"/>
          <w:marTop w:val="0"/>
          <w:marBottom w:val="0"/>
          <w:divBdr>
            <w:top w:val="none" w:sz="0" w:space="0" w:color="auto"/>
            <w:left w:val="none" w:sz="0" w:space="0" w:color="auto"/>
            <w:bottom w:val="none" w:sz="0" w:space="0" w:color="auto"/>
            <w:right w:val="none" w:sz="0" w:space="0" w:color="auto"/>
          </w:divBdr>
        </w:div>
        <w:div w:id="424039974">
          <w:marLeft w:val="0"/>
          <w:marRight w:val="0"/>
          <w:marTop w:val="0"/>
          <w:marBottom w:val="0"/>
          <w:divBdr>
            <w:top w:val="none" w:sz="0" w:space="0" w:color="auto"/>
            <w:left w:val="none" w:sz="0" w:space="0" w:color="auto"/>
            <w:bottom w:val="none" w:sz="0" w:space="0" w:color="auto"/>
            <w:right w:val="none" w:sz="0" w:space="0" w:color="auto"/>
          </w:divBdr>
        </w:div>
        <w:div w:id="470437983">
          <w:marLeft w:val="0"/>
          <w:marRight w:val="0"/>
          <w:marTop w:val="0"/>
          <w:marBottom w:val="0"/>
          <w:divBdr>
            <w:top w:val="none" w:sz="0" w:space="0" w:color="auto"/>
            <w:left w:val="none" w:sz="0" w:space="0" w:color="auto"/>
            <w:bottom w:val="none" w:sz="0" w:space="0" w:color="auto"/>
            <w:right w:val="none" w:sz="0" w:space="0" w:color="auto"/>
          </w:divBdr>
        </w:div>
        <w:div w:id="1672247288">
          <w:marLeft w:val="0"/>
          <w:marRight w:val="0"/>
          <w:marTop w:val="0"/>
          <w:marBottom w:val="0"/>
          <w:divBdr>
            <w:top w:val="none" w:sz="0" w:space="0" w:color="auto"/>
            <w:left w:val="none" w:sz="0" w:space="0" w:color="auto"/>
            <w:bottom w:val="none" w:sz="0" w:space="0" w:color="auto"/>
            <w:right w:val="none" w:sz="0" w:space="0" w:color="auto"/>
          </w:divBdr>
        </w:div>
        <w:div w:id="269439810">
          <w:marLeft w:val="0"/>
          <w:marRight w:val="0"/>
          <w:marTop w:val="0"/>
          <w:marBottom w:val="0"/>
          <w:divBdr>
            <w:top w:val="none" w:sz="0" w:space="0" w:color="auto"/>
            <w:left w:val="none" w:sz="0" w:space="0" w:color="auto"/>
            <w:bottom w:val="none" w:sz="0" w:space="0" w:color="auto"/>
            <w:right w:val="none" w:sz="0" w:space="0" w:color="auto"/>
          </w:divBdr>
        </w:div>
      </w:divsChild>
    </w:div>
    <w:div w:id="7072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Higgitt</dc:creator>
  <cp:keywords/>
  <dc:description/>
  <cp:lastModifiedBy>Alexia Farmer</cp:lastModifiedBy>
  <cp:revision>8</cp:revision>
  <dcterms:created xsi:type="dcterms:W3CDTF">2024-08-16T07:31:00Z</dcterms:created>
  <dcterms:modified xsi:type="dcterms:W3CDTF">2024-08-26T15:31:00Z</dcterms:modified>
</cp:coreProperties>
</file>