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5E2" w14:textId="52CFB8C9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4C1DB4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Advisory Board</w:t>
      </w:r>
    </w:p>
    <w:p w14:paraId="1F739914" w14:textId="67EEDE4A" w:rsidR="00CC1655" w:rsidRPr="007C015B" w:rsidRDefault="00522CE7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24 October</w:t>
      </w:r>
      <w:r w:rsidR="00A861D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2023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9.30 – 11.30 am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irtual Microsoft Teams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</w:t>
      </w:r>
    </w:p>
    <w:p w14:paraId="111C7505" w14:textId="24B273BF" w:rsidR="00E52A6D" w:rsidRDefault="00B95849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864DF4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Board Meeting Agenda</w:t>
      </w:r>
    </w:p>
    <w:p w14:paraId="7A961FF7" w14:textId="1B772B5A" w:rsidR="004C5B44" w:rsidRPr="006868BF" w:rsidRDefault="002B1B42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hyperlink r:id="rId11" w:history="1">
        <w:r w:rsidR="006868BF" w:rsidRPr="006868BF">
          <w:rPr>
            <w:rStyle w:val="Hyperlink"/>
            <w:color w:val="6264A7"/>
            <w:sz w:val="40"/>
            <w:szCs w:val="40"/>
          </w:rPr>
          <w:t>Click here to join the meeting</w:t>
        </w:r>
      </w:hyperlink>
    </w:p>
    <w:p w14:paraId="47DF9846" w14:textId="2009C52F" w:rsidR="007112EF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  <w:r w:rsidRPr="007C015B">
        <w:rPr>
          <w:i/>
          <w:lang w:val="en-US" w:eastAsia="en-GB"/>
        </w:rPr>
        <w:t xml:space="preserve">HW Advisory </w:t>
      </w:r>
      <w:r w:rsidR="0006246B" w:rsidRPr="007C015B">
        <w:rPr>
          <w:i/>
          <w:lang w:val="en-US" w:eastAsia="en-GB"/>
        </w:rPr>
        <w:t xml:space="preserve">Public </w:t>
      </w:r>
      <w:r w:rsidRPr="007C015B">
        <w:rPr>
          <w:i/>
          <w:lang w:val="en-US" w:eastAsia="en-GB"/>
        </w:rPr>
        <w:t xml:space="preserve">Board meetings </w:t>
      </w:r>
      <w:r w:rsidR="0006246B" w:rsidRPr="007C015B">
        <w:rPr>
          <w:i/>
          <w:lang w:val="en-US" w:eastAsia="en-GB"/>
        </w:rPr>
        <w:t>include</w:t>
      </w:r>
      <w:r w:rsidRPr="007C015B">
        <w:rPr>
          <w:i/>
          <w:lang w:val="en-US" w:eastAsia="en-GB"/>
        </w:rPr>
        <w:t xml:space="preserve"> an opportunity for members of the public to feedback issues about local Health and Social Care issues at the </w:t>
      </w:r>
      <w:r w:rsidR="00144BD4">
        <w:rPr>
          <w:i/>
          <w:lang w:val="en-US" w:eastAsia="en-GB"/>
        </w:rPr>
        <w:t>beginning</w:t>
      </w:r>
      <w:r w:rsidRPr="007C015B">
        <w:rPr>
          <w:i/>
          <w:lang w:val="en-US" w:eastAsia="en-GB"/>
        </w:rPr>
        <w:t xml:space="preserve"> of the meeting.</w:t>
      </w: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3261"/>
      </w:tblGrid>
      <w:tr w:rsidR="00825DCA" w:rsidRPr="007C015B" w14:paraId="37787D27" w14:textId="77777777" w:rsidTr="00825DCA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825DCA" w:rsidRPr="007C015B" w:rsidRDefault="00825DCA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825DCA" w:rsidRPr="007C015B" w:rsidRDefault="00825DCA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26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420F29D3" w:rsidR="00825DCA" w:rsidRPr="007C015B" w:rsidRDefault="00825DCA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Action</w:t>
            </w:r>
          </w:p>
        </w:tc>
      </w:tr>
      <w:tr w:rsidR="00825DCA" w:rsidRPr="007C015B" w14:paraId="377E6E0E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825DCA" w:rsidRPr="00FE4530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37639D8E" w14:textId="77777777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  <w:p w14:paraId="1DC289E9" w14:textId="77777777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Apologies received from</w:t>
            </w:r>
            <w:r w:rsidR="003D1BE4">
              <w:rPr>
                <w:rFonts w:asciiTheme="minorHAnsi" w:eastAsiaTheme="minorEastAsia" w:hAnsiTheme="minorHAnsi" w:cstheme="minorBidi"/>
              </w:rPr>
              <w:t>:</w:t>
            </w:r>
          </w:p>
          <w:p w14:paraId="6DC9108E" w14:textId="2129CE4E" w:rsidR="003D1BE4" w:rsidRDefault="003D1BE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HAB – TF</w:t>
            </w:r>
          </w:p>
          <w:p w14:paraId="2BB85254" w14:textId="77777777" w:rsidR="003D1BE4" w:rsidRDefault="003D1BE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Staff LH</w:t>
            </w:r>
          </w:p>
          <w:p w14:paraId="4B32C0AB" w14:textId="77777777" w:rsidR="00B82B16" w:rsidRDefault="00B82B1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2954AD3C" w14:textId="67E7E226" w:rsidR="00B82B16" w:rsidRPr="006D7357" w:rsidRDefault="00B82B1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PG gave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an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date on VM Absence.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0C795D45" w14:textId="77777777" w:rsidR="00825DCA" w:rsidRPr="007C015B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7D4A3374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825DCA" w:rsidRPr="00FE4530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6456FE2C" w14:textId="77777777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  <w:p w14:paraId="224F85EB" w14:textId="26412403" w:rsidR="003D1BE4" w:rsidRPr="006D7357" w:rsidRDefault="003D1BE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 declarations of interest recorded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2D497486" w14:textId="77777777" w:rsidR="00825DCA" w:rsidRPr="007C015B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5D4143A5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825DCA" w:rsidRPr="00FE4530" w:rsidRDefault="00825DCA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5F691CCB" w14:textId="77777777" w:rsidR="00825DCA" w:rsidRDefault="00825DCA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  <w:p w14:paraId="11CCF181" w14:textId="302CC24F" w:rsidR="003D1BE4" w:rsidRPr="006D7357" w:rsidRDefault="003D1BE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 public in attendance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7E59AEF6" w14:textId="77777777" w:rsidR="00825DCA" w:rsidRPr="007C015B" w:rsidRDefault="00825DCA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7318DDB0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22A4D2F1" w14:textId="757B49D5" w:rsidR="00825DCA" w:rsidRPr="00FE4530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71A483F9" w14:textId="3D99967C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Minutes and Action log from Public Board Meeting held </w:t>
            </w:r>
            <w:r>
              <w:rPr>
                <w:rFonts w:asciiTheme="minorHAnsi" w:eastAsiaTheme="minorEastAsia" w:hAnsiTheme="minorHAnsi" w:cstheme="minorBidi"/>
              </w:rPr>
              <w:t xml:space="preserve">on </w:t>
            </w:r>
            <w:r w:rsidR="00B82B16">
              <w:rPr>
                <w:rFonts w:asciiTheme="minorHAnsi" w:eastAsiaTheme="minorEastAsia" w:hAnsiTheme="minorHAnsi" w:cstheme="minorBidi"/>
              </w:rPr>
              <w:t xml:space="preserve">4 </w:t>
            </w:r>
            <w:r w:rsidR="00CE17A1">
              <w:rPr>
                <w:rFonts w:asciiTheme="minorHAnsi" w:eastAsiaTheme="minorEastAsia" w:hAnsiTheme="minorHAnsi" w:cstheme="minorBidi"/>
              </w:rPr>
              <w:t>July</w:t>
            </w:r>
            <w:r>
              <w:rPr>
                <w:rFonts w:asciiTheme="minorHAnsi" w:eastAsiaTheme="minorEastAsia" w:hAnsiTheme="minorHAnsi" w:cstheme="minorBidi"/>
              </w:rPr>
              <w:t xml:space="preserve"> 2023</w:t>
            </w:r>
          </w:p>
          <w:p w14:paraId="283D2D50" w14:textId="75E551C3" w:rsidR="00B82B16" w:rsidRPr="006D7357" w:rsidRDefault="00B82B1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Both approved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264BB709" w14:textId="62865B80" w:rsidR="00825DCA" w:rsidRDefault="00825DCA" w:rsidP="00680A11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48FAF5E9" w14:textId="56D03399" w:rsidR="00825DCA" w:rsidRPr="007C015B" w:rsidRDefault="00825DCA" w:rsidP="008B0AA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47C7E6DA" w14:textId="77777777" w:rsidTr="00825DCA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68F69823" w14:textId="53C1F05B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662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737538D" w14:textId="60AEA908" w:rsidR="00825DCA" w:rsidRPr="00F21552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Work programme 2023/24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008D2417" w14:textId="482EF128" w:rsidR="00825DCA" w:rsidRDefault="00825DCA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30EAB7C8" w14:textId="77777777" w:rsidTr="00825DCA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1997E43" w14:textId="77777777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68925" w14:textId="77777777" w:rsidR="00825DCA" w:rsidRPr="000F6C1F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F6C1F">
              <w:rPr>
                <w:rFonts w:asciiTheme="minorHAnsi" w:eastAsiaTheme="minorEastAsia" w:hAnsiTheme="minorHAnsi" w:cstheme="minorBidi"/>
                <w:b/>
                <w:bCs/>
              </w:rPr>
              <w:t xml:space="preserve">Business Plan </w:t>
            </w:r>
          </w:p>
          <w:p w14:paraId="388DA396" w14:textId="1320760E" w:rsidR="00B82B16" w:rsidRDefault="00B82B1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gave an overview of the current position of the Business Plan. AF said that the 360 feedback was delayed due to Local Authority conducting similar due to the tendering process.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2CC983C4" w14:textId="164995AB" w:rsidR="00825DCA" w:rsidRDefault="00825DCA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4222BDBB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3716982D" w14:textId="77777777" w:rsidR="00825DCA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2AF5CEED" w14:textId="77777777" w:rsidR="00825DCA" w:rsidRPr="000F6C1F" w:rsidRDefault="00825DCA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F6C1F">
              <w:rPr>
                <w:rFonts w:asciiTheme="minorHAnsi" w:eastAsiaTheme="minorEastAsia" w:hAnsiTheme="minorHAnsi" w:cstheme="minorBidi"/>
                <w:b/>
                <w:bCs/>
              </w:rPr>
              <w:t>Priority Projects 2022/23</w:t>
            </w:r>
          </w:p>
          <w:p w14:paraId="458CEA4B" w14:textId="77777777" w:rsidR="00B82B16" w:rsidRDefault="00B82B1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SS gave an overview of the </w:t>
            </w:r>
            <w:r w:rsidR="00013E43">
              <w:rPr>
                <w:rFonts w:asciiTheme="minorHAnsi" w:eastAsiaTheme="minorEastAsia" w:hAnsiTheme="minorHAnsi" w:cstheme="minorBidi"/>
              </w:rPr>
              <w:t>diabetes</w:t>
            </w:r>
            <w:r>
              <w:rPr>
                <w:rFonts w:asciiTheme="minorHAnsi" w:eastAsiaTheme="minorEastAsia" w:hAnsiTheme="minorHAnsi" w:cstheme="minorBidi"/>
              </w:rPr>
              <w:t xml:space="preserve"> project to date</w:t>
            </w:r>
            <w:r w:rsidR="00013E43">
              <w:rPr>
                <w:rFonts w:asciiTheme="minorHAnsi" w:eastAsiaTheme="minorEastAsia" w:hAnsiTheme="minorHAnsi" w:cstheme="minorBidi"/>
              </w:rPr>
              <w:t>:</w:t>
            </w:r>
          </w:p>
          <w:p w14:paraId="76DE5557" w14:textId="77777777" w:rsidR="00521CBC" w:rsidRDefault="00013E43" w:rsidP="00C81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Live survey phase is closed. </w:t>
            </w:r>
            <w:r w:rsidR="00100D11">
              <w:rPr>
                <w:rFonts w:asciiTheme="minorHAnsi" w:eastAsiaTheme="minorEastAsia" w:hAnsiTheme="minorHAnsi" w:cstheme="minorBidi"/>
              </w:rPr>
              <w:t xml:space="preserve">However there has been a large number of returns after Your Health Partnership sent the survey to patients via </w:t>
            </w:r>
            <w:r w:rsidR="00521CBC">
              <w:rPr>
                <w:rFonts w:asciiTheme="minorHAnsi" w:eastAsiaTheme="minorEastAsia" w:hAnsiTheme="minorHAnsi" w:cstheme="minorBidi"/>
              </w:rPr>
              <w:t>their</w:t>
            </w:r>
            <w:r w:rsidR="00100D11">
              <w:rPr>
                <w:rFonts w:asciiTheme="minorHAnsi" w:eastAsiaTheme="minorEastAsia" w:hAnsiTheme="minorHAnsi" w:cstheme="minorBidi"/>
              </w:rPr>
              <w:t xml:space="preserve"> texting service. SS is working with DF </w:t>
            </w:r>
            <w:r w:rsidR="00521CBC">
              <w:rPr>
                <w:rFonts w:asciiTheme="minorHAnsi" w:eastAsiaTheme="minorEastAsia" w:hAnsiTheme="minorHAnsi" w:cstheme="minorBidi"/>
              </w:rPr>
              <w:t>to analyse the returns. This will be published as a separate mini report.</w:t>
            </w:r>
          </w:p>
          <w:p w14:paraId="1D5ED6F5" w14:textId="71564FDF" w:rsidR="006A4ECA" w:rsidRDefault="0044286E" w:rsidP="00C81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African Caribbean focus Group report to be written as a document that the group can</w:t>
            </w:r>
            <w:r w:rsidR="00516913">
              <w:rPr>
                <w:rFonts w:asciiTheme="minorHAnsi" w:eastAsiaTheme="minorEastAsia" w:hAnsiTheme="minorHAnsi" w:cstheme="minorBidi"/>
              </w:rPr>
              <w:t xml:space="preserve"> use a resource in the future. SS S</w:t>
            </w:r>
            <w:r w:rsidR="006A4ECA">
              <w:rPr>
                <w:rFonts w:asciiTheme="minorHAnsi" w:eastAsiaTheme="minorEastAsia" w:hAnsiTheme="minorHAnsi" w:cstheme="minorBidi"/>
              </w:rPr>
              <w:t>aid that this would be published to coincide with black history month</w:t>
            </w:r>
          </w:p>
          <w:p w14:paraId="4FB92CC0" w14:textId="10EB95CF" w:rsidR="003C20D9" w:rsidRDefault="003C20D9" w:rsidP="00C81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South Asian focus group report will be published as a </w:t>
            </w:r>
            <w:r w:rsidR="009E4754">
              <w:rPr>
                <w:rFonts w:asciiTheme="minorHAnsi" w:eastAsiaTheme="minorEastAsia" w:hAnsiTheme="minorHAnsi" w:cstheme="minorBidi"/>
              </w:rPr>
              <w:t>two-page</w:t>
            </w:r>
            <w:r>
              <w:rPr>
                <w:rFonts w:asciiTheme="minorHAnsi" w:eastAsiaTheme="minorEastAsia" w:hAnsiTheme="minorHAnsi" w:cstheme="minorBidi"/>
              </w:rPr>
              <w:t xml:space="preserve"> document that can be used to promote further work with this cohort</w:t>
            </w:r>
          </w:p>
          <w:p w14:paraId="592660F3" w14:textId="77777777" w:rsidR="00013E43" w:rsidRDefault="009E4754" w:rsidP="00C81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More work was required with Elderly and vulnerable cohort</w:t>
            </w:r>
            <w:r w:rsidR="003C20D9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F025EDF" w14:textId="77777777" w:rsidR="009E4754" w:rsidRDefault="009E4754" w:rsidP="00C81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SS will start populating the full report in December. It is hoped tat this will be published well before the March deadline </w:t>
            </w:r>
          </w:p>
          <w:p w14:paraId="78D8BC7A" w14:textId="4ABFC3E6" w:rsidR="00343040" w:rsidRPr="00013E43" w:rsidRDefault="00343040" w:rsidP="00C81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There will be continued conversations with the target cohort groups throughout the rest of October and November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2DC39520" w14:textId="4BE66AC4" w:rsidR="00825DCA" w:rsidRDefault="00825DCA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3BFEDA53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20B42358" w14:textId="77777777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4385C918" w14:textId="77777777" w:rsidR="00825DCA" w:rsidRPr="000F6C1F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F6C1F">
              <w:rPr>
                <w:rFonts w:asciiTheme="minorHAnsi" w:eastAsiaTheme="minorEastAsia" w:hAnsiTheme="minorHAnsi" w:cstheme="minorBidi"/>
                <w:b/>
                <w:bCs/>
              </w:rPr>
              <w:t>Community outreach engagement</w:t>
            </w:r>
          </w:p>
          <w:p w14:paraId="4964A44D" w14:textId="7630A92D" w:rsidR="00343040" w:rsidRDefault="00927CD5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 gave an overview of the community engagement programme. ME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said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ME had </w:t>
            </w:r>
            <w:r w:rsidR="00003066">
              <w:rPr>
                <w:rFonts w:asciiTheme="minorHAnsi" w:eastAsiaTheme="minorEastAsia" w:hAnsiTheme="minorHAnsi" w:cstheme="minorBidi"/>
              </w:rPr>
              <w:t>new groups within this quarter:</w:t>
            </w:r>
          </w:p>
          <w:p w14:paraId="2BFDB21E" w14:textId="760319D8" w:rsidR="00003066" w:rsidRDefault="00314968" w:rsidP="00C81F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Cancer friends</w:t>
            </w:r>
            <w:r w:rsidR="00E5502E">
              <w:rPr>
                <w:rFonts w:asciiTheme="minorHAnsi" w:eastAsiaTheme="minorEastAsia" w:hAnsiTheme="minorHAnsi" w:cstheme="minorBidi"/>
              </w:rPr>
              <w:t>- Cradley Heath</w:t>
            </w:r>
          </w:p>
          <w:p w14:paraId="64E06284" w14:textId="5CDA91A0" w:rsidR="00314968" w:rsidRDefault="00314968" w:rsidP="00C81F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Cotterill’s Farm Residents association</w:t>
            </w:r>
          </w:p>
          <w:p w14:paraId="0059E950" w14:textId="34C4F624" w:rsidR="00314968" w:rsidRDefault="00E5502E" w:rsidP="00C81F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MacMillan Coffee Morning</w:t>
            </w:r>
          </w:p>
          <w:p w14:paraId="07E8D950" w14:textId="0B404F66" w:rsidR="00E5502E" w:rsidRDefault="00E5502E" w:rsidP="00C81F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 Marys Church </w:t>
            </w:r>
          </w:p>
          <w:p w14:paraId="225C0DFB" w14:textId="42F234E5" w:rsidR="00E5502E" w:rsidRDefault="00E5502E" w:rsidP="00C81F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Smethwick Baptist Church</w:t>
            </w:r>
          </w:p>
          <w:p w14:paraId="5AE314D1" w14:textId="1D7ECEB3" w:rsidR="00003066" w:rsidRPr="00F3084D" w:rsidRDefault="00AC6539" w:rsidP="00C81F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My Health Target</w:t>
            </w:r>
          </w:p>
          <w:p w14:paraId="489E7C58" w14:textId="0AD2F08D" w:rsidR="00A24953" w:rsidRDefault="00A249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 also highlighted the </w:t>
            </w:r>
            <w:r w:rsidR="00E71410">
              <w:rPr>
                <w:rFonts w:asciiTheme="minorHAnsi" w:eastAsiaTheme="minorEastAsia" w:hAnsiTheme="minorHAnsi" w:cstheme="minorBidi"/>
              </w:rPr>
              <w:t xml:space="preserve">GP showcase – Bearwood Medical Centre </w:t>
            </w:r>
            <w:r w:rsidR="00F526AE">
              <w:rPr>
                <w:rFonts w:asciiTheme="minorHAnsi" w:eastAsiaTheme="minorEastAsia" w:hAnsiTheme="minorHAnsi" w:cstheme="minorBidi"/>
              </w:rPr>
              <w:t xml:space="preserve">and informed that Warley Medical Centre were </w:t>
            </w:r>
            <w:r w:rsidR="00AC32B2">
              <w:rPr>
                <w:rFonts w:asciiTheme="minorHAnsi" w:eastAsiaTheme="minorEastAsia" w:hAnsiTheme="minorHAnsi" w:cstheme="minorBidi"/>
              </w:rPr>
              <w:t>interested</w:t>
            </w:r>
            <w:r w:rsidR="00F526AE">
              <w:rPr>
                <w:rFonts w:asciiTheme="minorHAnsi" w:eastAsiaTheme="minorEastAsia" w:hAnsiTheme="minorHAnsi" w:cstheme="minorBidi"/>
              </w:rPr>
              <w:t xml:space="preserve"> in taking part</w:t>
            </w:r>
            <w:r w:rsidR="00AC32B2">
              <w:rPr>
                <w:rFonts w:asciiTheme="minorHAnsi" w:eastAsiaTheme="minorEastAsia" w:hAnsiTheme="minorHAnsi" w:cstheme="minorBidi"/>
              </w:rPr>
              <w:t>.</w:t>
            </w:r>
          </w:p>
          <w:p w14:paraId="39BC9E6B" w14:textId="32C71459" w:rsidR="00927CD5" w:rsidRPr="00F3084D" w:rsidRDefault="00AC32B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 said that ME was also supporting and promoting the </w:t>
            </w:r>
            <w:r w:rsidR="00F306F4">
              <w:rPr>
                <w:rFonts w:asciiTheme="minorHAnsi" w:eastAsiaTheme="minorEastAsia" w:hAnsiTheme="minorHAnsi" w:cstheme="minorBidi"/>
              </w:rPr>
              <w:t>diabetes project.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1416323C" w14:textId="619AB5DF" w:rsidR="00825DCA" w:rsidRDefault="00825DCA" w:rsidP="000D26A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4EC81D2F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4EB23649" w14:textId="77777777" w:rsidR="00825DCA" w:rsidRPr="000F6C1F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F6C1F">
              <w:rPr>
                <w:rFonts w:asciiTheme="minorHAnsi" w:eastAsiaTheme="minorEastAsia" w:hAnsiTheme="minorHAnsi" w:cstheme="minorBidi"/>
                <w:b/>
                <w:bCs/>
              </w:rPr>
              <w:t>Enter and View</w:t>
            </w:r>
          </w:p>
          <w:p w14:paraId="76D2DCBD" w14:textId="77777777" w:rsidR="00DE43A7" w:rsidRDefault="00F3084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There was a lengthy discussion </w:t>
            </w:r>
            <w:r w:rsidR="00E21491">
              <w:rPr>
                <w:rFonts w:asciiTheme="minorHAnsi" w:eastAsiaTheme="minorEastAsia" w:hAnsiTheme="minorHAnsi" w:cstheme="minorBidi"/>
              </w:rPr>
              <w:t>regarding the number of people</w:t>
            </w:r>
            <w:r w:rsidR="00150C51">
              <w:rPr>
                <w:rFonts w:asciiTheme="minorHAnsi" w:eastAsiaTheme="minorEastAsia" w:hAnsiTheme="minorHAnsi" w:cstheme="minorBidi"/>
              </w:rPr>
              <w:t xml:space="preserve"> interviewed in some of the facilities identified for the Enter and View Programme. Hab members were not critical but concerned that </w:t>
            </w:r>
            <w:r w:rsidR="00850AC4">
              <w:rPr>
                <w:rFonts w:asciiTheme="minorHAnsi" w:eastAsiaTheme="minorEastAsia" w:hAnsiTheme="minorHAnsi" w:cstheme="minorBidi"/>
              </w:rPr>
              <w:t>stakeholders</w:t>
            </w:r>
            <w:r w:rsidR="00150C51">
              <w:rPr>
                <w:rFonts w:asciiTheme="minorHAnsi" w:eastAsiaTheme="minorEastAsia" w:hAnsiTheme="minorHAnsi" w:cstheme="minorBidi"/>
              </w:rPr>
              <w:t xml:space="preserve"> might</w:t>
            </w:r>
            <w:r w:rsidR="00850AC4">
              <w:rPr>
                <w:rFonts w:asciiTheme="minorHAnsi" w:eastAsiaTheme="minorEastAsia" w:hAnsiTheme="minorHAnsi" w:cstheme="minorBidi"/>
              </w:rPr>
              <w:t xml:space="preserve"> not look favourably on the report actions if numbers were low.</w:t>
            </w:r>
          </w:p>
          <w:p w14:paraId="5B80CE29" w14:textId="77777777" w:rsidR="00DE43A7" w:rsidRDefault="00DE43A7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Several adjustments were suggested:</w:t>
            </w:r>
          </w:p>
          <w:p w14:paraId="581ACA4C" w14:textId="4E865546" w:rsidR="00F3084D" w:rsidRDefault="00DE43A7" w:rsidP="00C81F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 </w:t>
            </w:r>
            <w:r w:rsidR="000F6C1F">
              <w:rPr>
                <w:rFonts w:asciiTheme="minorHAnsi" w:eastAsiaTheme="minorEastAsia" w:hAnsiTheme="minorHAnsi" w:cstheme="minorBidi"/>
              </w:rPr>
              <w:t>referring</w:t>
            </w:r>
            <w:r>
              <w:rPr>
                <w:rFonts w:asciiTheme="minorHAnsi" w:eastAsiaTheme="minorEastAsia" w:hAnsiTheme="minorHAnsi" w:cstheme="minorBidi"/>
              </w:rPr>
              <w:t xml:space="preserve"> to the actual number of people interviewed</w:t>
            </w:r>
          </w:p>
          <w:p w14:paraId="15DD8EBF" w14:textId="77777777" w:rsidR="00DE43A7" w:rsidRDefault="00DE43A7" w:rsidP="00C81F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More than one visit</w:t>
            </w:r>
            <w:r w:rsidR="00E2547F">
              <w:rPr>
                <w:rFonts w:asciiTheme="minorHAnsi" w:eastAsiaTheme="minorEastAsia" w:hAnsiTheme="minorHAnsi" w:cstheme="minorBidi"/>
              </w:rPr>
              <w:t xml:space="preserve"> within an agreed timescale</w:t>
            </w:r>
          </w:p>
          <w:p w14:paraId="31C41641" w14:textId="77777777" w:rsidR="00E2547F" w:rsidRDefault="00E2547F" w:rsidP="00C81F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Visiting more than one services in </w:t>
            </w:r>
            <w:r w:rsidR="00C65AEE">
              <w:rPr>
                <w:rFonts w:asciiTheme="minorHAnsi" w:eastAsiaTheme="minorEastAsia" w:hAnsiTheme="minorHAnsi" w:cstheme="minorBidi"/>
              </w:rPr>
              <w:t>a venue</w:t>
            </w:r>
          </w:p>
          <w:p w14:paraId="4A95C64E" w14:textId="0DC0C617" w:rsidR="00C65AEE" w:rsidRPr="00E6366F" w:rsidRDefault="00C65AEE" w:rsidP="00C65AE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said that the programme would be </w:t>
            </w:r>
            <w:r w:rsidR="00CF01A3">
              <w:rPr>
                <w:rFonts w:asciiTheme="minorHAnsi" w:eastAsiaTheme="minorEastAsia" w:hAnsiTheme="minorHAnsi" w:cstheme="minorBidi"/>
              </w:rPr>
              <w:t>reviewed,</w:t>
            </w:r>
            <w:r>
              <w:rPr>
                <w:rFonts w:asciiTheme="minorHAnsi" w:eastAsiaTheme="minorEastAsia" w:hAnsiTheme="minorHAnsi" w:cstheme="minorBidi"/>
              </w:rPr>
              <w:t xml:space="preserve"> and </w:t>
            </w:r>
            <w:r w:rsidR="007C14C5">
              <w:rPr>
                <w:rFonts w:asciiTheme="minorHAnsi" w:eastAsiaTheme="minorEastAsia" w:hAnsiTheme="minorHAnsi" w:cstheme="minorBidi"/>
              </w:rPr>
              <w:t xml:space="preserve">consideration given to how to enhance  future programmes. AF said that AA </w:t>
            </w:r>
            <w:r w:rsidR="008547E0">
              <w:rPr>
                <w:rFonts w:asciiTheme="minorHAnsi" w:eastAsiaTheme="minorEastAsia" w:hAnsiTheme="minorHAnsi" w:cstheme="minorBidi"/>
              </w:rPr>
              <w:t>had carried out 13 Ent</w:t>
            </w:r>
            <w:r w:rsidR="0095437E">
              <w:rPr>
                <w:rFonts w:asciiTheme="minorHAnsi" w:eastAsiaTheme="minorEastAsia" w:hAnsiTheme="minorHAnsi" w:cstheme="minorBidi"/>
              </w:rPr>
              <w:t>er</w:t>
            </w:r>
            <w:r w:rsidR="008547E0">
              <w:rPr>
                <w:rFonts w:asciiTheme="minorHAnsi" w:eastAsiaTheme="minorEastAsia" w:hAnsiTheme="minorHAnsi" w:cstheme="minorBidi"/>
              </w:rPr>
              <w:t xml:space="preserve"> and </w:t>
            </w:r>
            <w:r w:rsidR="0095437E">
              <w:rPr>
                <w:rFonts w:asciiTheme="minorHAnsi" w:eastAsiaTheme="minorEastAsia" w:hAnsiTheme="minorHAnsi" w:cstheme="minorBidi"/>
              </w:rPr>
              <w:t>V</w:t>
            </w:r>
            <w:r w:rsidR="008547E0">
              <w:rPr>
                <w:rFonts w:asciiTheme="minorHAnsi" w:eastAsiaTheme="minorEastAsia" w:hAnsiTheme="minorHAnsi" w:cstheme="minorBidi"/>
              </w:rPr>
              <w:t>iew visits since May</w:t>
            </w:r>
            <w:r w:rsidR="0095437E">
              <w:rPr>
                <w:rFonts w:asciiTheme="minorHAnsi" w:eastAsiaTheme="minorEastAsia" w:hAnsiTheme="minorHAnsi" w:cstheme="minorBidi"/>
              </w:rPr>
              <w:t>. Planning</w:t>
            </w:r>
            <w:r w:rsidR="00CD283D">
              <w:rPr>
                <w:rFonts w:asciiTheme="minorHAnsi" w:eastAsiaTheme="minorEastAsia" w:hAnsiTheme="minorHAnsi" w:cstheme="minorBidi"/>
              </w:rPr>
              <w:t xml:space="preserve"> visits, the work that t took to rep due to process and</w:t>
            </w:r>
            <w:r w:rsidR="0095437E">
              <w:rPr>
                <w:rFonts w:asciiTheme="minorHAnsi" w:eastAsiaTheme="minorEastAsia" w:hAnsiTheme="minorHAnsi" w:cstheme="minorBidi"/>
              </w:rPr>
              <w:t xml:space="preserve"> recruiting and training vols to support the visits</w:t>
            </w:r>
            <w:r w:rsidR="00CF01A3">
              <w:rPr>
                <w:rFonts w:asciiTheme="minorHAnsi" w:eastAsiaTheme="minorEastAsia" w:hAnsiTheme="minorHAnsi" w:cstheme="minorBidi"/>
              </w:rPr>
              <w:t xml:space="preserve"> took time and effort and reminded members that AA only worked 22 hours per week.</w:t>
            </w:r>
            <w:r w:rsidR="007F4074">
              <w:rPr>
                <w:rFonts w:asciiTheme="minorHAnsi" w:eastAsiaTheme="minorEastAsia" w:hAnsiTheme="minorHAnsi" w:cstheme="minorBidi"/>
              </w:rPr>
              <w:t xml:space="preserve"> </w:t>
            </w:r>
            <w:r w:rsidR="007F4074" w:rsidRPr="00E6366F">
              <w:rPr>
                <w:rFonts w:asciiTheme="minorHAnsi" w:eastAsiaTheme="minorEastAsia" w:hAnsiTheme="minorHAnsi" w:cstheme="minorBidi"/>
              </w:rPr>
              <w:t>AA and AF to</w:t>
            </w:r>
            <w:r w:rsidR="00E6366F" w:rsidRPr="00E6366F">
              <w:rPr>
                <w:rFonts w:asciiTheme="minorHAnsi" w:eastAsiaTheme="minorEastAsia" w:hAnsiTheme="minorHAnsi" w:cstheme="minorBidi"/>
              </w:rPr>
              <w:t xml:space="preserve"> review and discuss the programme and future programmes at a future meeting  </w:t>
            </w:r>
          </w:p>
          <w:p w14:paraId="6CF31CF9" w14:textId="77777777" w:rsidR="00CF01A3" w:rsidRDefault="00CF01A3" w:rsidP="00C65AE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5F58AB73" w14:textId="41D9DED5" w:rsidR="00CF01A3" w:rsidRPr="007F4074" w:rsidRDefault="00CF01A3" w:rsidP="00C65AE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PJ said that PJ had </w:t>
            </w:r>
            <w:r w:rsidR="003E507E">
              <w:rPr>
                <w:rFonts w:asciiTheme="minorHAnsi" w:eastAsiaTheme="minorEastAsia" w:hAnsiTheme="minorHAnsi" w:cstheme="minorBidi"/>
              </w:rPr>
              <w:t xml:space="preserve">learnt so much about the process of E&amp;V at a recent training event. PG echoed this and said that all </w:t>
            </w:r>
            <w:r w:rsidR="003E507E" w:rsidRPr="007F4074">
              <w:rPr>
                <w:rFonts w:asciiTheme="minorHAnsi" w:eastAsiaTheme="minorEastAsia" w:hAnsiTheme="minorHAnsi" w:cstheme="minorBidi"/>
                <w:color w:val="FF0000"/>
              </w:rPr>
              <w:t>Hab members should undertake the training</w:t>
            </w:r>
            <w:r w:rsidR="000F6C1F" w:rsidRPr="007F4074">
              <w:rPr>
                <w:rFonts w:asciiTheme="minorHAnsi" w:eastAsiaTheme="minorEastAsia" w:hAnsiTheme="minorHAnsi" w:cstheme="minorBidi"/>
                <w:color w:val="FF0000"/>
              </w:rPr>
              <w:t>.</w:t>
            </w:r>
          </w:p>
          <w:p w14:paraId="7C3AD851" w14:textId="1BC408E4" w:rsidR="00CF01A3" w:rsidRPr="00C65AEE" w:rsidRDefault="00CF01A3" w:rsidP="00C65AE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60D40392" w14:textId="77777777" w:rsidR="00825DCA" w:rsidRDefault="00825DCA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7E4989B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587C98D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B080CE6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BC8582C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2A9D375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CEA055A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AA74C58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989D89D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683249F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D9448F9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5D4E54D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213A1B8C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C5588C3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13BCA19F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43CF902B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AFD9EDB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39CDF10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69A4402D" w14:textId="77777777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8899DB9" w14:textId="084314BD" w:rsidR="00C10BE8" w:rsidRDefault="00C10BE8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to discuss with AA </w:t>
            </w:r>
            <w:r w:rsidR="00A86567">
              <w:rPr>
                <w:rFonts w:asciiTheme="minorHAnsi" w:eastAsiaTheme="minorEastAsia" w:hAnsiTheme="minorHAnsi" w:cstheme="minorBidi"/>
              </w:rPr>
              <w:t>at next 121</w:t>
            </w:r>
          </w:p>
        </w:tc>
      </w:tr>
      <w:tr w:rsidR="00825DCA" w:rsidRPr="007C015B" w14:paraId="309EBAE6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29E0734A" w14:textId="77777777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  <w:p w14:paraId="6F0BEFAE" w14:textId="524D96B1" w:rsidR="000F6C1F" w:rsidRPr="009225C3" w:rsidRDefault="000F6C1F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AA said that the programme was going well, </w:t>
            </w:r>
            <w:r w:rsidR="00EF0E32">
              <w:rPr>
                <w:rFonts w:asciiTheme="minorHAnsi" w:eastAsiaTheme="minorEastAsia" w:hAnsiTheme="minorHAnsi" w:cstheme="minorBidi"/>
              </w:rPr>
              <w:t xml:space="preserve">including recruitment. AA said that the advertisement for more youth volunteers </w:t>
            </w:r>
            <w:r w:rsidR="007F4074">
              <w:rPr>
                <w:rFonts w:asciiTheme="minorHAnsi" w:eastAsiaTheme="minorEastAsia" w:hAnsiTheme="minorHAnsi" w:cstheme="minorBidi"/>
              </w:rPr>
              <w:t>was ready to go. AA  said that there were already two young volunteers currently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4CB14C3B" w14:textId="77777777" w:rsidR="00825DCA" w:rsidRDefault="00825DCA" w:rsidP="00C01A2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7AAC06CE" w14:textId="77777777" w:rsidR="00A86567" w:rsidRDefault="00A86567" w:rsidP="00C01A2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48189012" w14:textId="77777777" w:rsidR="00A86567" w:rsidRDefault="00A86567" w:rsidP="00C01A2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6B89EDC3" w14:textId="77777777" w:rsidR="00A86567" w:rsidRDefault="00A86567" w:rsidP="00C01A2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37F6C72B" w14:textId="257345E8" w:rsidR="00A86567" w:rsidRDefault="00A86567" w:rsidP="00C01A2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and </w:t>
            </w:r>
            <w:r w:rsidRPr="007F4074">
              <w:rPr>
                <w:rFonts w:asciiTheme="minorHAnsi" w:eastAsiaTheme="minorEastAsia" w:hAnsiTheme="minorHAnsi" w:cstheme="minorBidi"/>
                <w:color w:val="FF0000"/>
              </w:rPr>
              <w:t>AA were going to discuss how to advance the youth volunteer programme at a future meeting</w:t>
            </w:r>
          </w:p>
        </w:tc>
      </w:tr>
      <w:tr w:rsidR="00825DCA" w:rsidRPr="007C015B" w14:paraId="321F4D23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49BAD0AF" w14:textId="77777777" w:rsidR="007C1248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Platforms and information sharing </w:t>
            </w:r>
          </w:p>
          <w:p w14:paraId="5BDDA25B" w14:textId="0C40392D" w:rsidR="00825DCA" w:rsidRPr="00F21552" w:rsidRDefault="007C124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presented the </w:t>
            </w:r>
            <w:r w:rsidR="00675D0F">
              <w:rPr>
                <w:rFonts w:asciiTheme="minorHAnsi" w:eastAsiaTheme="minorEastAsia" w:hAnsiTheme="minorHAnsi" w:cstheme="minorBidi"/>
              </w:rPr>
              <w:t xml:space="preserve">information in the </w:t>
            </w:r>
            <w:r w:rsidR="007025E1">
              <w:rPr>
                <w:rFonts w:asciiTheme="minorHAnsi" w:eastAsiaTheme="minorEastAsia" w:hAnsiTheme="minorHAnsi" w:cstheme="minorBidi"/>
              </w:rPr>
              <w:t>absence of LH</w:t>
            </w:r>
            <w:r w:rsidR="00825DC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60AA6848" w14:textId="3FA2FD0E" w:rsidR="00825DCA" w:rsidRDefault="00825DCA" w:rsidP="0093506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7194D9C3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35705B55" w14:textId="77777777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16C54C5D" w14:textId="77777777" w:rsidR="00825DCA" w:rsidRPr="001611FD" w:rsidRDefault="00825DCA" w:rsidP="00060E89">
            <w:pPr>
              <w:spacing w:after="0" w:line="240" w:lineRule="auto"/>
              <w:contextualSpacing/>
              <w:rPr>
                <w:b/>
                <w:bCs/>
              </w:rPr>
            </w:pPr>
            <w:r w:rsidRPr="001611FD">
              <w:rPr>
                <w:b/>
                <w:bCs/>
              </w:rPr>
              <w:t xml:space="preserve">Project Officer - ICP Patient Voice </w:t>
            </w:r>
          </w:p>
          <w:p w14:paraId="326C91CA" w14:textId="3B0ACB3B" w:rsidR="0034642D" w:rsidRDefault="0034642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t>PH gave an overview of the GBY report and the delay in starting phase two. T</w:t>
            </w:r>
            <w:r w:rsidR="00376914">
              <w:t>here was a discussion on ho</w:t>
            </w:r>
            <w:r w:rsidR="0067144A">
              <w:t>w</w:t>
            </w:r>
            <w:r w:rsidR="00376914">
              <w:t xml:space="preserve"> stakeholders could be held to account on the recommendations of </w:t>
            </w:r>
            <w:r w:rsidR="0067144A">
              <w:t>this</w:t>
            </w:r>
            <w:r w:rsidR="00376914">
              <w:t xml:space="preserve"> report and </w:t>
            </w:r>
            <w:r w:rsidR="0067144A">
              <w:t>HWS work programme reports. PG said that PG and AF were meeting with Cllr Hartwell (Chair HWBB) AND Cllr G</w:t>
            </w:r>
            <w:r w:rsidR="00750FC0">
              <w:t xml:space="preserve">ILES (Chair Scrutiny Board) regularly to discuss HW work programme and </w:t>
            </w:r>
            <w:r w:rsidR="001611FD">
              <w:t xml:space="preserve">recommendations that were coming out from our reports. AF added that HW now had a standing agenda items item at HWBB so our work would be heard and acknowledged by elected embers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0A21B7EB" w14:textId="6AD2DCD2" w:rsidR="00825DCA" w:rsidRDefault="00825DCA" w:rsidP="0093506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4E7ACE87" w14:textId="77777777" w:rsidTr="00825DCA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662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825DCA" w:rsidRPr="00800991" w:rsidRDefault="00825DCA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435FDDB3" w14:textId="77777777" w:rsidR="00825DCA" w:rsidRDefault="00825DCA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72CB83F6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825DCA" w:rsidRPr="00FE4530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14:paraId="44A37992" w14:textId="74645571" w:rsidR="00825DCA" w:rsidRDefault="00825DCA" w:rsidP="00C81F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F262E3">
              <w:rPr>
                <w:rFonts w:asciiTheme="minorHAnsi" w:eastAsiaTheme="minorEastAsia" w:hAnsiTheme="minorHAnsi" w:cstheme="minorBidi"/>
              </w:rPr>
              <w:t>Health and Care Partnership Board (P</w:t>
            </w:r>
            <w:r>
              <w:rPr>
                <w:rFonts w:asciiTheme="minorHAnsi" w:eastAsiaTheme="minorEastAsia" w:hAnsiTheme="minorHAnsi" w:cstheme="minorBidi"/>
              </w:rPr>
              <w:t>G</w:t>
            </w:r>
            <w:r w:rsidRPr="00F262E3">
              <w:rPr>
                <w:rFonts w:asciiTheme="minorHAnsi" w:eastAsiaTheme="minorEastAsia" w:hAnsiTheme="minorHAnsi" w:cstheme="minorBidi"/>
              </w:rPr>
              <w:t>)</w:t>
            </w:r>
          </w:p>
          <w:p w14:paraId="027ABD84" w14:textId="0982B700" w:rsidR="009B641A" w:rsidRPr="009B641A" w:rsidRDefault="009B641A" w:rsidP="009B641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 said that the Guided by You report was received well by the b</w:t>
            </w:r>
            <w:r w:rsidR="00134CBC">
              <w:rPr>
                <w:rFonts w:asciiTheme="minorHAnsi" w:eastAsiaTheme="minorEastAsia" w:hAnsiTheme="minorHAnsi" w:cstheme="minorBidi"/>
              </w:rPr>
              <w:t xml:space="preserve">oard and was approved. </w:t>
            </w:r>
          </w:p>
          <w:p w14:paraId="51B79F40" w14:textId="77777777" w:rsidR="00825DCA" w:rsidRDefault="00825DCA" w:rsidP="00C81F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31258C">
              <w:rPr>
                <w:rFonts w:asciiTheme="minorHAnsi" w:eastAsiaTheme="minorEastAsia" w:hAnsiTheme="minorHAnsi" w:cstheme="minorBidi"/>
              </w:rPr>
              <w:t xml:space="preserve">Health and Well Being Board </w:t>
            </w:r>
            <w:r>
              <w:rPr>
                <w:rFonts w:asciiTheme="minorHAnsi" w:eastAsiaTheme="minorEastAsia" w:hAnsiTheme="minorHAnsi" w:cstheme="minorBidi"/>
              </w:rPr>
              <w:t>(PG)</w:t>
            </w:r>
          </w:p>
          <w:p w14:paraId="0EE5FBF8" w14:textId="0AC9F265" w:rsidR="00134CBC" w:rsidRPr="00134CBC" w:rsidRDefault="00134CBC" w:rsidP="00134CB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 said the HWS presentation was well received and there was some good Q</w:t>
            </w:r>
            <w:r w:rsidR="00611DC1">
              <w:rPr>
                <w:rFonts w:asciiTheme="minorHAnsi" w:eastAsiaTheme="minorEastAsia" w:hAnsiTheme="minorHAnsi" w:cstheme="minorBidi"/>
              </w:rPr>
              <w:t xml:space="preserve"> and A re service offering. It was disappointing that there were </w:t>
            </w:r>
            <w:r w:rsidR="00611DC1">
              <w:rPr>
                <w:rFonts w:asciiTheme="minorHAnsi" w:eastAsiaTheme="minorEastAsia" w:hAnsiTheme="minorHAnsi" w:cstheme="minorBidi"/>
              </w:rPr>
              <w:lastRenderedPageBreak/>
              <w:t>some e</w:t>
            </w:r>
            <w:r w:rsidR="00C23ACD">
              <w:rPr>
                <w:rFonts w:asciiTheme="minorHAnsi" w:eastAsiaTheme="minorEastAsia" w:hAnsiTheme="minorHAnsi" w:cstheme="minorBidi"/>
              </w:rPr>
              <w:t xml:space="preserve">lected members not in attendance but hopefully they will have read and note the HW </w:t>
            </w:r>
            <w:r w:rsidR="00C37825">
              <w:rPr>
                <w:rFonts w:asciiTheme="minorHAnsi" w:eastAsiaTheme="minorEastAsia" w:hAnsiTheme="minorHAnsi" w:cstheme="minorBidi"/>
              </w:rPr>
              <w:t xml:space="preserve">presentations as they were included the board pack. </w:t>
            </w:r>
            <w:r w:rsidR="00C23AC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28000A2C" w14:textId="366E6338" w:rsidR="00825DCA" w:rsidRPr="007C015B" w:rsidRDefault="00825DC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25DCA" w:rsidRPr="007C015B" w14:paraId="4D508B0E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825DCA" w:rsidRPr="007C015B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825DCA" w:rsidRPr="007D2C34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642D797D" w14:textId="43E129CB" w:rsidR="00825DCA" w:rsidRPr="007C015B" w:rsidRDefault="00825DC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07B96DB7" w14:textId="77777777" w:rsidTr="00825DCA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825DCA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662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825DCA" w:rsidRPr="007D2C34" w:rsidRDefault="00825DC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1740F096" w14:textId="77777777" w:rsidR="00825DCA" w:rsidRDefault="00825DC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2723C387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825DCA" w:rsidRPr="007D2C34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358420A3" w14:textId="77777777" w:rsidR="00825DCA" w:rsidRDefault="00825DCA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4EFE3EAE" w14:textId="77777777" w:rsidTr="00825DCA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662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825DCA" w:rsidRPr="009A59E3" w:rsidRDefault="00825DCA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Publish a report/ agree a recommendation made in a report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25DCA" w:rsidRDefault="00825DCA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6BA9D465" w14:textId="77777777" w:rsidTr="00825DCA"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F21AEE6" w14:textId="77777777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3F8465" w14:textId="2C8C3072" w:rsidR="00825DCA" w:rsidRPr="0030254C" w:rsidRDefault="00825DCA" w:rsidP="00304C5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0254C">
              <w:rPr>
                <w:rFonts w:asciiTheme="minorHAnsi" w:eastAsiaTheme="minorEastAsia" w:hAnsiTheme="minorHAnsi" w:cstheme="minorBidi"/>
                <w:b/>
                <w:bCs/>
                <w:color w:val="95B3D7" w:themeColor="accent1" w:themeTint="99"/>
              </w:rPr>
              <w:t xml:space="preserve">No reports pending 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14:paraId="51C70489" w14:textId="77777777" w:rsidR="00825DCA" w:rsidRDefault="00825DCA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2BAB0C98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14:paraId="7F67088E" w14:textId="77777777" w:rsidR="00825DCA" w:rsidRPr="007D2C34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825DCA" w:rsidRPr="00F14F47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05131A03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7530A3E0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13B8A02B" w14:textId="333C4CFF" w:rsidR="00825DCA" w:rsidRPr="004F7D1B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49A9F591" w14:textId="398081ED" w:rsidR="00825DCA" w:rsidRPr="007C015B" w:rsidRDefault="00825DCA" w:rsidP="00D63AA7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089A06B1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40FE9328" w14:textId="77777777" w:rsidR="00825DCA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4E273F60" w:rsidR="00825DCA" w:rsidRPr="00934BCB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522CE7">
              <w:rPr>
                <w:b/>
                <w:bCs/>
                <w:color w:val="4F81BD" w:themeColor="accent1"/>
              </w:rPr>
              <w:t xml:space="preserve">No decision to be made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443D8B5A" w14:textId="77777777" w:rsidR="00825DCA" w:rsidRPr="007C015B" w:rsidRDefault="00825DCA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64104B62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825DCA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825DCA" w:rsidRPr="00AF5024" w:rsidRDefault="00825DCA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t xml:space="preserve">Nothing to report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3CA3CE77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36162CAB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8g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5F6B866C" w14:textId="01B9487A" w:rsidR="00825DCA" w:rsidRPr="00FE4530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3B10BF17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3D6AC7F6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825DCA" w:rsidRPr="00FE4530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825DCA" w:rsidRPr="00AF5024" w:rsidRDefault="00825DCA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6D643856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0D110669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825DCA" w:rsidRDefault="00825DCA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825DCA" w:rsidRPr="00AF5024" w:rsidRDefault="00825DCA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2035B973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26DA4B26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2ED08692" w14:textId="75CA4303" w:rsidR="00825DCA" w:rsidRPr="005F0310" w:rsidRDefault="00825DCA" w:rsidP="005F0310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10C76D01" w14:textId="45B4AEC4" w:rsidR="00825DCA" w:rsidRPr="007C015B" w:rsidRDefault="00825DCA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6F686FEB" w14:textId="77777777" w:rsidTr="00825DCA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  <w:vAlign w:val="center"/>
          </w:tcPr>
          <w:p w14:paraId="523FC8F5" w14:textId="18E447CA" w:rsidR="00825DCA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Date and time of next meeting </w:t>
            </w:r>
          </w:p>
          <w:p w14:paraId="3B989F9C" w14:textId="21004AAB" w:rsidR="007E3FB0" w:rsidRPr="005F0310" w:rsidRDefault="00F440DC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Next meeting is informal. AF to look for a suitable venue for a Christmas get together – Early December 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</w:tcPr>
          <w:p w14:paraId="4536123C" w14:textId="5484009C" w:rsidR="00825DCA" w:rsidRPr="007C015B" w:rsidRDefault="00825DCA" w:rsidP="00B61AE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825DCA" w:rsidRPr="007C015B" w14:paraId="3490386C" w14:textId="77777777" w:rsidTr="00825DCA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825DCA" w:rsidRPr="00101841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825DCA" w:rsidRPr="007C015B" w:rsidRDefault="00825DCA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EAFE4C5" w14:textId="2C7661AA" w:rsidR="00785266" w:rsidRDefault="00800991" w:rsidP="00101841">
      <w:pPr>
        <w:tabs>
          <w:tab w:val="left" w:pos="4608"/>
        </w:tabs>
        <w:spacing w:after="0"/>
      </w:pPr>
      <w:r>
        <w:t>PG</w:t>
      </w:r>
      <w:r w:rsidR="001D1BED">
        <w:t xml:space="preserve"> </w:t>
      </w:r>
      <w:r w:rsidR="002A5913">
        <w:t xml:space="preserve">   Chair</w:t>
      </w:r>
    </w:p>
    <w:p w14:paraId="6E7794B8" w14:textId="0F0D2231" w:rsidR="00785266" w:rsidRDefault="00785266" w:rsidP="00101841">
      <w:pPr>
        <w:tabs>
          <w:tab w:val="left" w:pos="4608"/>
        </w:tabs>
        <w:spacing w:after="0"/>
      </w:pPr>
      <w:r>
        <w:t xml:space="preserve">AF   </w:t>
      </w:r>
      <w:r w:rsidR="005F0310">
        <w:t xml:space="preserve"> </w:t>
      </w:r>
      <w:r>
        <w:t xml:space="preserve">Manager </w:t>
      </w:r>
    </w:p>
    <w:p w14:paraId="2EBCFF19" w14:textId="438A5E58" w:rsidR="00785266" w:rsidRDefault="00785266" w:rsidP="00101841">
      <w:pPr>
        <w:tabs>
          <w:tab w:val="left" w:pos="4608"/>
        </w:tabs>
        <w:spacing w:after="0"/>
      </w:pPr>
      <w:r>
        <w:t xml:space="preserve">AA   </w:t>
      </w:r>
      <w:r w:rsidR="005F0310">
        <w:t xml:space="preserve"> </w:t>
      </w:r>
      <w:r>
        <w:t>Engagemen</w:t>
      </w:r>
      <w:r w:rsidR="006615C2">
        <w:t>t and Volunteer Lead</w:t>
      </w:r>
    </w:p>
    <w:p w14:paraId="5278A02F" w14:textId="50C7896B" w:rsidR="00785266" w:rsidRDefault="006615C2" w:rsidP="00101841">
      <w:pPr>
        <w:tabs>
          <w:tab w:val="left" w:pos="4608"/>
        </w:tabs>
        <w:spacing w:after="0"/>
      </w:pPr>
      <w:r>
        <w:t>ME   Community Outreach Lead</w:t>
      </w:r>
    </w:p>
    <w:p w14:paraId="11EFA1A5" w14:textId="4C8F5647" w:rsidR="006615C2" w:rsidRDefault="006615C2" w:rsidP="00101841">
      <w:pPr>
        <w:tabs>
          <w:tab w:val="left" w:pos="4608"/>
        </w:tabs>
        <w:spacing w:after="0"/>
      </w:pPr>
      <w:r>
        <w:t>SS     Projects and Partnership Lead</w:t>
      </w:r>
    </w:p>
    <w:p w14:paraId="64C692DF" w14:textId="05E56C53" w:rsidR="00C13FC7" w:rsidRDefault="00C13FC7" w:rsidP="00101841">
      <w:pPr>
        <w:tabs>
          <w:tab w:val="left" w:pos="4608"/>
        </w:tabs>
        <w:spacing w:after="0"/>
      </w:pPr>
      <w:r>
        <w:t xml:space="preserve">LH   </w:t>
      </w:r>
      <w:r w:rsidR="005F0310">
        <w:t xml:space="preserve"> </w:t>
      </w:r>
      <w:r>
        <w:t xml:space="preserve">Signposting and Information Officer </w:t>
      </w:r>
    </w:p>
    <w:p w14:paraId="1D436E61" w14:textId="4D795A4F" w:rsidR="005F0310" w:rsidRDefault="005F0310" w:rsidP="00101841">
      <w:pPr>
        <w:tabs>
          <w:tab w:val="left" w:pos="4608"/>
        </w:tabs>
        <w:spacing w:after="0"/>
      </w:pPr>
      <w:r>
        <w:t>PH    Project Officer - ICP Patient Voice</w:t>
      </w:r>
    </w:p>
    <w:p w14:paraId="531C8033" w14:textId="7F010428" w:rsidR="00785266" w:rsidRDefault="0002502D" w:rsidP="00101841">
      <w:pPr>
        <w:tabs>
          <w:tab w:val="left" w:pos="4608"/>
        </w:tabs>
        <w:spacing w:after="0"/>
      </w:pPr>
      <w:r>
        <w:t xml:space="preserve"> </w:t>
      </w:r>
    </w:p>
    <w:p w14:paraId="65097BF3" w14:textId="37E4F836" w:rsidR="0002502D" w:rsidRDefault="0002502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DB82" w14:textId="77777777" w:rsidR="00E53F60" w:rsidRDefault="00E53F60" w:rsidP="0097282F">
      <w:pPr>
        <w:spacing w:after="0" w:line="240" w:lineRule="auto"/>
      </w:pPr>
      <w:r>
        <w:separator/>
      </w:r>
    </w:p>
  </w:endnote>
  <w:endnote w:type="continuationSeparator" w:id="0">
    <w:p w14:paraId="1E649FBF" w14:textId="77777777" w:rsidR="00E53F60" w:rsidRDefault="00E53F60" w:rsidP="0097282F">
      <w:pPr>
        <w:spacing w:after="0" w:line="240" w:lineRule="auto"/>
      </w:pPr>
      <w:r>
        <w:continuationSeparator/>
      </w:r>
    </w:p>
  </w:endnote>
  <w:endnote w:type="continuationNotice" w:id="1">
    <w:p w14:paraId="6275D451" w14:textId="77777777" w:rsidR="00E53F60" w:rsidRDefault="00E53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05F6" w14:textId="77777777" w:rsidR="00E53F60" w:rsidRDefault="00E53F60" w:rsidP="0097282F">
      <w:pPr>
        <w:spacing w:after="0" w:line="240" w:lineRule="auto"/>
      </w:pPr>
      <w:r>
        <w:separator/>
      </w:r>
    </w:p>
  </w:footnote>
  <w:footnote w:type="continuationSeparator" w:id="0">
    <w:p w14:paraId="55858032" w14:textId="77777777" w:rsidR="00E53F60" w:rsidRDefault="00E53F60" w:rsidP="0097282F">
      <w:pPr>
        <w:spacing w:after="0" w:line="240" w:lineRule="auto"/>
      </w:pPr>
      <w:r>
        <w:continuationSeparator/>
      </w:r>
    </w:p>
  </w:footnote>
  <w:footnote w:type="continuationNotice" w:id="1">
    <w:p w14:paraId="2CB585D2" w14:textId="77777777" w:rsidR="00E53F60" w:rsidRDefault="00E53F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589F" w14:textId="7EEF3656" w:rsidR="00A61ECA" w:rsidRPr="00A61ECA" w:rsidRDefault="00C313C0" w:rsidP="00A61ECA">
    <w:pPr>
      <w:tabs>
        <w:tab w:val="center" w:pos="4513"/>
      </w:tabs>
      <w:spacing w:after="0" w:line="240" w:lineRule="auto"/>
      <w:rPr>
        <w:rFonts w:cs="Calibri"/>
        <w:b/>
        <w:color w:val="595959"/>
        <w:sz w:val="18"/>
        <w:szCs w:val="18"/>
      </w:rPr>
    </w:pPr>
    <w:bookmarkStart w:id="0" w:name="_Hlk530977765"/>
    <w:bookmarkStart w:id="1" w:name="_Hlk530978763"/>
    <w:r w:rsidRPr="00B81DCB">
      <w:rPr>
        <w:rFonts w:asciiTheme="minorHAnsi" w:eastAsiaTheme="minorEastAsia" w:hAnsiTheme="minorHAnsi" w:cs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67D9E7D" wp14:editId="6D738147">
          <wp:simplePos x="0" y="0"/>
          <wp:positionH relativeFrom="margin">
            <wp:posOffset>5523865</wp:posOffset>
          </wp:positionH>
          <wp:positionV relativeFrom="paragraph">
            <wp:posOffset>-70485</wp:posOffset>
          </wp:positionV>
          <wp:extent cx="1515110" cy="67564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ECA" w:rsidRPr="00A61ECA">
      <w:rPr>
        <w:rFonts w:cs="Calibri"/>
        <w:b/>
        <w:color w:val="595959"/>
        <w:sz w:val="18"/>
        <w:szCs w:val="18"/>
      </w:rPr>
      <w:t>Engaging Communities</w:t>
    </w:r>
    <w:bookmarkStart w:id="2" w:name="_Hlk530978803"/>
    <w:bookmarkEnd w:id="0"/>
    <w:r w:rsidR="00157C18">
      <w:rPr>
        <w:rFonts w:cs="Calibri"/>
        <w:b/>
        <w:color w:val="595959"/>
        <w:sz w:val="18"/>
        <w:szCs w:val="18"/>
      </w:rPr>
      <w:t xml:space="preserve"> Solutions</w:t>
    </w:r>
    <w:r w:rsidR="00157C18">
      <w:rPr>
        <w:rFonts w:cs="Calibri"/>
        <w:b/>
        <w:color w:val="595959"/>
        <w:sz w:val="18"/>
        <w:szCs w:val="18"/>
      </w:rPr>
      <w:tab/>
    </w:r>
    <w:r w:rsidR="00157C18">
      <w:rPr>
        <w:rFonts w:cs="Calibri"/>
        <w:b/>
        <w:color w:val="595959"/>
        <w:sz w:val="18"/>
        <w:szCs w:val="18"/>
      </w:rPr>
      <w:tab/>
    </w:r>
    <w:r w:rsidR="00AA7D49">
      <w:rPr>
        <w:rFonts w:cs="Calibri"/>
        <w:b/>
        <w:color w:val="595959"/>
        <w:sz w:val="18"/>
        <w:szCs w:val="18"/>
      </w:rPr>
      <w:tab/>
      <w:t xml:space="preserve">  </w:t>
    </w:r>
    <w:r w:rsidR="001460E9">
      <w:rPr>
        <w:rFonts w:cs="Calibri"/>
        <w:b/>
        <w:color w:val="595959"/>
        <w:sz w:val="18"/>
        <w:szCs w:val="18"/>
      </w:rPr>
      <w:t>HAB Public Board Meeting Agenda</w:t>
    </w:r>
    <w:r w:rsidRPr="00C313C0">
      <w:rPr>
        <w:rFonts w:asciiTheme="minorHAnsi" w:eastAsiaTheme="minorEastAsia" w:hAnsiTheme="minorHAnsi" w:cstheme="minorBidi"/>
        <w:b/>
        <w:bCs/>
        <w:noProof/>
        <w:sz w:val="28"/>
        <w:szCs w:val="28"/>
      </w:rPr>
      <w:t xml:space="preserve"> </w:t>
    </w:r>
  </w:p>
  <w:p w14:paraId="5EC18980" w14:textId="184E3DB5" w:rsidR="00A61ECA" w:rsidRPr="00AA7D49" w:rsidRDefault="00A61ECA" w:rsidP="00157C18">
    <w:pPr>
      <w:spacing w:after="0" w:line="240" w:lineRule="auto"/>
      <w:rPr>
        <w:rFonts w:cs="Calibri"/>
        <w:b/>
        <w:color w:val="595959"/>
        <w:sz w:val="16"/>
        <w:szCs w:val="16"/>
      </w:rPr>
    </w:pPr>
    <w:r w:rsidRPr="00AA7D49">
      <w:rPr>
        <w:rFonts w:cs="Calibri"/>
        <w:b/>
        <w:color w:val="595959"/>
        <w:sz w:val="16"/>
        <w:szCs w:val="16"/>
      </w:rPr>
      <w:t>Unit 42, Staffordshire University Business Village, Dyson Way, Staffordshire Technology Park, Stafford, Staffordshire, ST18 0TW</w:t>
    </w:r>
    <w:bookmarkEnd w:id="1"/>
    <w:bookmarkEnd w:id="2"/>
  </w:p>
  <w:p w14:paraId="02D68A2C" w14:textId="77777777" w:rsidR="004B21CC" w:rsidRDefault="004B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28B"/>
    <w:multiLevelType w:val="hybridMultilevel"/>
    <w:tmpl w:val="50C8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F34"/>
    <w:multiLevelType w:val="hybridMultilevel"/>
    <w:tmpl w:val="4DD6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5A11"/>
    <w:multiLevelType w:val="hybridMultilevel"/>
    <w:tmpl w:val="11822C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5945">
    <w:abstractNumId w:val="4"/>
  </w:num>
  <w:num w:numId="2" w16cid:durableId="1276325300">
    <w:abstractNumId w:val="2"/>
  </w:num>
  <w:num w:numId="3" w16cid:durableId="1801607320">
    <w:abstractNumId w:val="1"/>
  </w:num>
  <w:num w:numId="4" w16cid:durableId="800541060">
    <w:abstractNumId w:val="0"/>
  </w:num>
  <w:num w:numId="5" w16cid:durableId="108784306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3066"/>
    <w:rsid w:val="00005B2E"/>
    <w:rsid w:val="0000725A"/>
    <w:rsid w:val="00011E1C"/>
    <w:rsid w:val="00013E43"/>
    <w:rsid w:val="000143D2"/>
    <w:rsid w:val="00015C0E"/>
    <w:rsid w:val="00015EB1"/>
    <w:rsid w:val="000175C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29F5"/>
    <w:rsid w:val="00044896"/>
    <w:rsid w:val="000511EF"/>
    <w:rsid w:val="00055AD7"/>
    <w:rsid w:val="0006030C"/>
    <w:rsid w:val="00060E89"/>
    <w:rsid w:val="00061867"/>
    <w:rsid w:val="0006246B"/>
    <w:rsid w:val="00064F1F"/>
    <w:rsid w:val="00070AA8"/>
    <w:rsid w:val="00074C5A"/>
    <w:rsid w:val="0008158F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26A4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0F6C1F"/>
    <w:rsid w:val="001000D7"/>
    <w:rsid w:val="00100B68"/>
    <w:rsid w:val="00100D11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4CBC"/>
    <w:rsid w:val="00137A19"/>
    <w:rsid w:val="00140C4A"/>
    <w:rsid w:val="00144BD4"/>
    <w:rsid w:val="001460E9"/>
    <w:rsid w:val="00150C51"/>
    <w:rsid w:val="00157964"/>
    <w:rsid w:val="001579A4"/>
    <w:rsid w:val="00157C18"/>
    <w:rsid w:val="001611FD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480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4EC3"/>
    <w:rsid w:val="00235B4C"/>
    <w:rsid w:val="00241591"/>
    <w:rsid w:val="00244193"/>
    <w:rsid w:val="0024538D"/>
    <w:rsid w:val="0026666C"/>
    <w:rsid w:val="00270037"/>
    <w:rsid w:val="00273C1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A26B4"/>
    <w:rsid w:val="002A5913"/>
    <w:rsid w:val="002A6C41"/>
    <w:rsid w:val="002A75E4"/>
    <w:rsid w:val="002A7C40"/>
    <w:rsid w:val="002A7E87"/>
    <w:rsid w:val="002B0E55"/>
    <w:rsid w:val="002B180C"/>
    <w:rsid w:val="002B1B42"/>
    <w:rsid w:val="002B3FB1"/>
    <w:rsid w:val="002B498D"/>
    <w:rsid w:val="002B6465"/>
    <w:rsid w:val="002B7127"/>
    <w:rsid w:val="002B7149"/>
    <w:rsid w:val="002B7ABB"/>
    <w:rsid w:val="002C2E86"/>
    <w:rsid w:val="002C3725"/>
    <w:rsid w:val="002C3EA7"/>
    <w:rsid w:val="002C4D4D"/>
    <w:rsid w:val="002C5DA9"/>
    <w:rsid w:val="002D319C"/>
    <w:rsid w:val="002D401E"/>
    <w:rsid w:val="002D4BD7"/>
    <w:rsid w:val="002D7AFE"/>
    <w:rsid w:val="002E32A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1D0E"/>
    <w:rsid w:val="00313EFD"/>
    <w:rsid w:val="00314968"/>
    <w:rsid w:val="00316B33"/>
    <w:rsid w:val="00316C15"/>
    <w:rsid w:val="00322248"/>
    <w:rsid w:val="00326777"/>
    <w:rsid w:val="003274D1"/>
    <w:rsid w:val="003321F1"/>
    <w:rsid w:val="00336D6D"/>
    <w:rsid w:val="00337396"/>
    <w:rsid w:val="003421C6"/>
    <w:rsid w:val="00343040"/>
    <w:rsid w:val="00343989"/>
    <w:rsid w:val="00345026"/>
    <w:rsid w:val="0034642D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76914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0D9"/>
    <w:rsid w:val="003C2A20"/>
    <w:rsid w:val="003C6A76"/>
    <w:rsid w:val="003C7175"/>
    <w:rsid w:val="003D0996"/>
    <w:rsid w:val="003D1495"/>
    <w:rsid w:val="003D1BE4"/>
    <w:rsid w:val="003E0308"/>
    <w:rsid w:val="003E1BAF"/>
    <w:rsid w:val="003E1CA1"/>
    <w:rsid w:val="003E507E"/>
    <w:rsid w:val="003E7989"/>
    <w:rsid w:val="003F1891"/>
    <w:rsid w:val="003F444A"/>
    <w:rsid w:val="003F5119"/>
    <w:rsid w:val="003F7017"/>
    <w:rsid w:val="00402E05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286E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9A5"/>
    <w:rsid w:val="0047440B"/>
    <w:rsid w:val="00474BFD"/>
    <w:rsid w:val="00477114"/>
    <w:rsid w:val="0048142D"/>
    <w:rsid w:val="00483C2D"/>
    <w:rsid w:val="00486233"/>
    <w:rsid w:val="00487534"/>
    <w:rsid w:val="004878FC"/>
    <w:rsid w:val="00490381"/>
    <w:rsid w:val="0049195D"/>
    <w:rsid w:val="00494111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6AAF"/>
    <w:rsid w:val="004F79AA"/>
    <w:rsid w:val="004F7D1B"/>
    <w:rsid w:val="0050055F"/>
    <w:rsid w:val="00503CFD"/>
    <w:rsid w:val="00505D8A"/>
    <w:rsid w:val="005071FA"/>
    <w:rsid w:val="00510529"/>
    <w:rsid w:val="0051275F"/>
    <w:rsid w:val="0051276E"/>
    <w:rsid w:val="00513EC1"/>
    <w:rsid w:val="00516913"/>
    <w:rsid w:val="005213F3"/>
    <w:rsid w:val="00521CBC"/>
    <w:rsid w:val="00521FDA"/>
    <w:rsid w:val="00522612"/>
    <w:rsid w:val="00522CE7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600A7"/>
    <w:rsid w:val="005604C3"/>
    <w:rsid w:val="00562345"/>
    <w:rsid w:val="00565D07"/>
    <w:rsid w:val="005712B5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6ADC"/>
    <w:rsid w:val="005D12A1"/>
    <w:rsid w:val="005D675C"/>
    <w:rsid w:val="005D6E1B"/>
    <w:rsid w:val="005D74E2"/>
    <w:rsid w:val="005E18D7"/>
    <w:rsid w:val="005E4120"/>
    <w:rsid w:val="005E663E"/>
    <w:rsid w:val="005F0310"/>
    <w:rsid w:val="005F0DBF"/>
    <w:rsid w:val="005F1509"/>
    <w:rsid w:val="005F64F3"/>
    <w:rsid w:val="006061D9"/>
    <w:rsid w:val="00611DC1"/>
    <w:rsid w:val="0061341A"/>
    <w:rsid w:val="00616B4B"/>
    <w:rsid w:val="00620274"/>
    <w:rsid w:val="00630C12"/>
    <w:rsid w:val="00633E6E"/>
    <w:rsid w:val="00636A91"/>
    <w:rsid w:val="00637A77"/>
    <w:rsid w:val="00641787"/>
    <w:rsid w:val="00642401"/>
    <w:rsid w:val="00644976"/>
    <w:rsid w:val="00645CD8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144A"/>
    <w:rsid w:val="00672E72"/>
    <w:rsid w:val="006739FA"/>
    <w:rsid w:val="00675D0F"/>
    <w:rsid w:val="00675E6C"/>
    <w:rsid w:val="0068006F"/>
    <w:rsid w:val="00680551"/>
    <w:rsid w:val="00680A11"/>
    <w:rsid w:val="0068627B"/>
    <w:rsid w:val="006864FA"/>
    <w:rsid w:val="006867CE"/>
    <w:rsid w:val="006868BF"/>
    <w:rsid w:val="00686CA5"/>
    <w:rsid w:val="00687B9D"/>
    <w:rsid w:val="00690447"/>
    <w:rsid w:val="00693F79"/>
    <w:rsid w:val="00694185"/>
    <w:rsid w:val="00695177"/>
    <w:rsid w:val="00695A44"/>
    <w:rsid w:val="00697425"/>
    <w:rsid w:val="0069774C"/>
    <w:rsid w:val="006A0D10"/>
    <w:rsid w:val="006A28FF"/>
    <w:rsid w:val="006A2A37"/>
    <w:rsid w:val="006A4ECA"/>
    <w:rsid w:val="006A7FD1"/>
    <w:rsid w:val="006C03DE"/>
    <w:rsid w:val="006C4026"/>
    <w:rsid w:val="006D0B87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25E1"/>
    <w:rsid w:val="00704033"/>
    <w:rsid w:val="00705D39"/>
    <w:rsid w:val="00706A70"/>
    <w:rsid w:val="007112EF"/>
    <w:rsid w:val="00711C0A"/>
    <w:rsid w:val="00711C7C"/>
    <w:rsid w:val="0071736B"/>
    <w:rsid w:val="00722081"/>
    <w:rsid w:val="0072286F"/>
    <w:rsid w:val="00725020"/>
    <w:rsid w:val="007250C7"/>
    <w:rsid w:val="0073050C"/>
    <w:rsid w:val="00730835"/>
    <w:rsid w:val="00733E7E"/>
    <w:rsid w:val="00740B0B"/>
    <w:rsid w:val="00740BB8"/>
    <w:rsid w:val="00743B68"/>
    <w:rsid w:val="00750038"/>
    <w:rsid w:val="00750FC0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7146"/>
    <w:rsid w:val="007815AF"/>
    <w:rsid w:val="00781628"/>
    <w:rsid w:val="00781B5D"/>
    <w:rsid w:val="00785266"/>
    <w:rsid w:val="00785B01"/>
    <w:rsid w:val="00786802"/>
    <w:rsid w:val="00795B81"/>
    <w:rsid w:val="007963F3"/>
    <w:rsid w:val="00797527"/>
    <w:rsid w:val="007A077D"/>
    <w:rsid w:val="007A4618"/>
    <w:rsid w:val="007B5D00"/>
    <w:rsid w:val="007B7CB6"/>
    <w:rsid w:val="007C015B"/>
    <w:rsid w:val="007C1248"/>
    <w:rsid w:val="007C14C5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3FB0"/>
    <w:rsid w:val="007E43A6"/>
    <w:rsid w:val="007E6C39"/>
    <w:rsid w:val="007E6D89"/>
    <w:rsid w:val="007F25D9"/>
    <w:rsid w:val="007F4074"/>
    <w:rsid w:val="007F749D"/>
    <w:rsid w:val="00800991"/>
    <w:rsid w:val="00801C51"/>
    <w:rsid w:val="00804548"/>
    <w:rsid w:val="00805F62"/>
    <w:rsid w:val="00810870"/>
    <w:rsid w:val="008134E7"/>
    <w:rsid w:val="00813741"/>
    <w:rsid w:val="00815D04"/>
    <w:rsid w:val="008168FD"/>
    <w:rsid w:val="008233E6"/>
    <w:rsid w:val="00825DCA"/>
    <w:rsid w:val="0082658B"/>
    <w:rsid w:val="00834954"/>
    <w:rsid w:val="00840E2B"/>
    <w:rsid w:val="0084214B"/>
    <w:rsid w:val="00844358"/>
    <w:rsid w:val="008467FE"/>
    <w:rsid w:val="00850AC4"/>
    <w:rsid w:val="008547E0"/>
    <w:rsid w:val="00855C0E"/>
    <w:rsid w:val="00860D7A"/>
    <w:rsid w:val="00864DF4"/>
    <w:rsid w:val="00874AD8"/>
    <w:rsid w:val="008826ED"/>
    <w:rsid w:val="00891ECD"/>
    <w:rsid w:val="00893D3F"/>
    <w:rsid w:val="00894B7E"/>
    <w:rsid w:val="008A4881"/>
    <w:rsid w:val="008B0AA3"/>
    <w:rsid w:val="008B1CA3"/>
    <w:rsid w:val="008B5219"/>
    <w:rsid w:val="008B58FD"/>
    <w:rsid w:val="008B6AEA"/>
    <w:rsid w:val="008C0B22"/>
    <w:rsid w:val="008C37D0"/>
    <w:rsid w:val="008C5389"/>
    <w:rsid w:val="008C7BF9"/>
    <w:rsid w:val="008D0A97"/>
    <w:rsid w:val="008D2A3D"/>
    <w:rsid w:val="008D2A79"/>
    <w:rsid w:val="008D4F56"/>
    <w:rsid w:val="008D6B87"/>
    <w:rsid w:val="008E2277"/>
    <w:rsid w:val="008E3175"/>
    <w:rsid w:val="008E4376"/>
    <w:rsid w:val="008E45F2"/>
    <w:rsid w:val="008E4D07"/>
    <w:rsid w:val="008E50E2"/>
    <w:rsid w:val="008E7AF7"/>
    <w:rsid w:val="008F5356"/>
    <w:rsid w:val="008F59D1"/>
    <w:rsid w:val="00903C15"/>
    <w:rsid w:val="009055CA"/>
    <w:rsid w:val="00906267"/>
    <w:rsid w:val="00911E55"/>
    <w:rsid w:val="00915F86"/>
    <w:rsid w:val="00920AAF"/>
    <w:rsid w:val="009225C3"/>
    <w:rsid w:val="00922850"/>
    <w:rsid w:val="00924E38"/>
    <w:rsid w:val="009258D9"/>
    <w:rsid w:val="00927CD5"/>
    <w:rsid w:val="00931848"/>
    <w:rsid w:val="00932CD1"/>
    <w:rsid w:val="00934BCB"/>
    <w:rsid w:val="0093506C"/>
    <w:rsid w:val="0093671A"/>
    <w:rsid w:val="0094293F"/>
    <w:rsid w:val="00954009"/>
    <w:rsid w:val="0095437E"/>
    <w:rsid w:val="00957353"/>
    <w:rsid w:val="009575D9"/>
    <w:rsid w:val="0096287B"/>
    <w:rsid w:val="00964C7D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3CB7"/>
    <w:rsid w:val="009B641A"/>
    <w:rsid w:val="009C2EB6"/>
    <w:rsid w:val="009C4C78"/>
    <w:rsid w:val="009C4E27"/>
    <w:rsid w:val="009C6BE7"/>
    <w:rsid w:val="009E0DB5"/>
    <w:rsid w:val="009E1C23"/>
    <w:rsid w:val="009E2633"/>
    <w:rsid w:val="009E2AEE"/>
    <w:rsid w:val="009E4754"/>
    <w:rsid w:val="009E5E5A"/>
    <w:rsid w:val="009E641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24953"/>
    <w:rsid w:val="00A31F12"/>
    <w:rsid w:val="00A4095C"/>
    <w:rsid w:val="00A44EF6"/>
    <w:rsid w:val="00A507B9"/>
    <w:rsid w:val="00A52DFA"/>
    <w:rsid w:val="00A543B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61D1"/>
    <w:rsid w:val="00A86567"/>
    <w:rsid w:val="00A872B0"/>
    <w:rsid w:val="00A902F7"/>
    <w:rsid w:val="00A924E6"/>
    <w:rsid w:val="00A932E1"/>
    <w:rsid w:val="00A96029"/>
    <w:rsid w:val="00AA1D77"/>
    <w:rsid w:val="00AA6A7C"/>
    <w:rsid w:val="00AA7D49"/>
    <w:rsid w:val="00AB1449"/>
    <w:rsid w:val="00AB17DB"/>
    <w:rsid w:val="00AB5F4E"/>
    <w:rsid w:val="00AC32B2"/>
    <w:rsid w:val="00AC3425"/>
    <w:rsid w:val="00AC6539"/>
    <w:rsid w:val="00AC7CD5"/>
    <w:rsid w:val="00AD08D6"/>
    <w:rsid w:val="00AD1F73"/>
    <w:rsid w:val="00AD2507"/>
    <w:rsid w:val="00AD2CBE"/>
    <w:rsid w:val="00AD3DBA"/>
    <w:rsid w:val="00AD7D56"/>
    <w:rsid w:val="00AE3804"/>
    <w:rsid w:val="00AF08B1"/>
    <w:rsid w:val="00AF1665"/>
    <w:rsid w:val="00AF5024"/>
    <w:rsid w:val="00AF63FE"/>
    <w:rsid w:val="00B01322"/>
    <w:rsid w:val="00B01BB7"/>
    <w:rsid w:val="00B068FB"/>
    <w:rsid w:val="00B06C6A"/>
    <w:rsid w:val="00B13349"/>
    <w:rsid w:val="00B14653"/>
    <w:rsid w:val="00B20065"/>
    <w:rsid w:val="00B2061F"/>
    <w:rsid w:val="00B20D36"/>
    <w:rsid w:val="00B30E3D"/>
    <w:rsid w:val="00B33DA5"/>
    <w:rsid w:val="00B354A9"/>
    <w:rsid w:val="00B41D22"/>
    <w:rsid w:val="00B42CCA"/>
    <w:rsid w:val="00B445A9"/>
    <w:rsid w:val="00B45B51"/>
    <w:rsid w:val="00B4671A"/>
    <w:rsid w:val="00B52604"/>
    <w:rsid w:val="00B57E8C"/>
    <w:rsid w:val="00B61AE9"/>
    <w:rsid w:val="00B62ABD"/>
    <w:rsid w:val="00B62C1C"/>
    <w:rsid w:val="00B67A4C"/>
    <w:rsid w:val="00B73F63"/>
    <w:rsid w:val="00B75329"/>
    <w:rsid w:val="00B76AB7"/>
    <w:rsid w:val="00B80560"/>
    <w:rsid w:val="00B80977"/>
    <w:rsid w:val="00B81DCB"/>
    <w:rsid w:val="00B82B16"/>
    <w:rsid w:val="00B86C94"/>
    <w:rsid w:val="00B91782"/>
    <w:rsid w:val="00B92DF8"/>
    <w:rsid w:val="00B94A53"/>
    <w:rsid w:val="00B94E8C"/>
    <w:rsid w:val="00B95849"/>
    <w:rsid w:val="00BB0FE7"/>
    <w:rsid w:val="00BB1F75"/>
    <w:rsid w:val="00BB54A5"/>
    <w:rsid w:val="00BB72E0"/>
    <w:rsid w:val="00BC2AC1"/>
    <w:rsid w:val="00BC7A5A"/>
    <w:rsid w:val="00BD5FBE"/>
    <w:rsid w:val="00BD7596"/>
    <w:rsid w:val="00BD7636"/>
    <w:rsid w:val="00BD7A0F"/>
    <w:rsid w:val="00BD7DF4"/>
    <w:rsid w:val="00BE1224"/>
    <w:rsid w:val="00BE2439"/>
    <w:rsid w:val="00BE30D8"/>
    <w:rsid w:val="00BE4B67"/>
    <w:rsid w:val="00BF2C33"/>
    <w:rsid w:val="00BF5031"/>
    <w:rsid w:val="00BF6FB9"/>
    <w:rsid w:val="00C01A2B"/>
    <w:rsid w:val="00C029D6"/>
    <w:rsid w:val="00C04770"/>
    <w:rsid w:val="00C04A7B"/>
    <w:rsid w:val="00C05C13"/>
    <w:rsid w:val="00C05F89"/>
    <w:rsid w:val="00C100E8"/>
    <w:rsid w:val="00C10BE8"/>
    <w:rsid w:val="00C11FA3"/>
    <w:rsid w:val="00C13FC7"/>
    <w:rsid w:val="00C1649D"/>
    <w:rsid w:val="00C23ACD"/>
    <w:rsid w:val="00C26D6C"/>
    <w:rsid w:val="00C2796C"/>
    <w:rsid w:val="00C313C0"/>
    <w:rsid w:val="00C322AB"/>
    <w:rsid w:val="00C32C67"/>
    <w:rsid w:val="00C3428A"/>
    <w:rsid w:val="00C3479A"/>
    <w:rsid w:val="00C35A92"/>
    <w:rsid w:val="00C35FA5"/>
    <w:rsid w:val="00C37825"/>
    <w:rsid w:val="00C37965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AEE"/>
    <w:rsid w:val="00C65DA5"/>
    <w:rsid w:val="00C66FF3"/>
    <w:rsid w:val="00C710A7"/>
    <w:rsid w:val="00C741B9"/>
    <w:rsid w:val="00C74A6F"/>
    <w:rsid w:val="00C75822"/>
    <w:rsid w:val="00C81F12"/>
    <w:rsid w:val="00C867B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CEB"/>
    <w:rsid w:val="00CD0DC7"/>
    <w:rsid w:val="00CD283D"/>
    <w:rsid w:val="00CD340A"/>
    <w:rsid w:val="00CD7978"/>
    <w:rsid w:val="00CE07D4"/>
    <w:rsid w:val="00CE17A1"/>
    <w:rsid w:val="00CE34EA"/>
    <w:rsid w:val="00CE7428"/>
    <w:rsid w:val="00CF01A3"/>
    <w:rsid w:val="00CF1AD8"/>
    <w:rsid w:val="00CF355D"/>
    <w:rsid w:val="00CF51A0"/>
    <w:rsid w:val="00CF5854"/>
    <w:rsid w:val="00CF7EEE"/>
    <w:rsid w:val="00D01141"/>
    <w:rsid w:val="00D0797F"/>
    <w:rsid w:val="00D1296E"/>
    <w:rsid w:val="00D1774A"/>
    <w:rsid w:val="00D243F6"/>
    <w:rsid w:val="00D31DB0"/>
    <w:rsid w:val="00D32861"/>
    <w:rsid w:val="00D35A15"/>
    <w:rsid w:val="00D35B94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B22D1"/>
    <w:rsid w:val="00DB46CD"/>
    <w:rsid w:val="00DB475A"/>
    <w:rsid w:val="00DC123D"/>
    <w:rsid w:val="00DC1485"/>
    <w:rsid w:val="00DC4A6D"/>
    <w:rsid w:val="00DC56EC"/>
    <w:rsid w:val="00DD2742"/>
    <w:rsid w:val="00DD53EF"/>
    <w:rsid w:val="00DE09BF"/>
    <w:rsid w:val="00DE2D05"/>
    <w:rsid w:val="00DE43A7"/>
    <w:rsid w:val="00DE5879"/>
    <w:rsid w:val="00DF5185"/>
    <w:rsid w:val="00E0089F"/>
    <w:rsid w:val="00E06AB5"/>
    <w:rsid w:val="00E11E99"/>
    <w:rsid w:val="00E11EA5"/>
    <w:rsid w:val="00E12309"/>
    <w:rsid w:val="00E14B69"/>
    <w:rsid w:val="00E14C43"/>
    <w:rsid w:val="00E21491"/>
    <w:rsid w:val="00E214BC"/>
    <w:rsid w:val="00E2547F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3F60"/>
    <w:rsid w:val="00E5502E"/>
    <w:rsid w:val="00E57744"/>
    <w:rsid w:val="00E6366F"/>
    <w:rsid w:val="00E703C7"/>
    <w:rsid w:val="00E7076B"/>
    <w:rsid w:val="00E71410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0E32"/>
    <w:rsid w:val="00EF4A6D"/>
    <w:rsid w:val="00EF4BE9"/>
    <w:rsid w:val="00F01A45"/>
    <w:rsid w:val="00F04449"/>
    <w:rsid w:val="00F14F47"/>
    <w:rsid w:val="00F16441"/>
    <w:rsid w:val="00F21C34"/>
    <w:rsid w:val="00F23C1D"/>
    <w:rsid w:val="00F25891"/>
    <w:rsid w:val="00F26069"/>
    <w:rsid w:val="00F262E3"/>
    <w:rsid w:val="00F278E3"/>
    <w:rsid w:val="00F306F4"/>
    <w:rsid w:val="00F3084D"/>
    <w:rsid w:val="00F37E1A"/>
    <w:rsid w:val="00F37F7A"/>
    <w:rsid w:val="00F40464"/>
    <w:rsid w:val="00F40ED3"/>
    <w:rsid w:val="00F440DC"/>
    <w:rsid w:val="00F45CC6"/>
    <w:rsid w:val="00F51E55"/>
    <w:rsid w:val="00F526AE"/>
    <w:rsid w:val="00F54CAE"/>
    <w:rsid w:val="00F56C98"/>
    <w:rsid w:val="00F57FC8"/>
    <w:rsid w:val="00F62E8B"/>
    <w:rsid w:val="00F630EB"/>
    <w:rsid w:val="00F647EC"/>
    <w:rsid w:val="00F67392"/>
    <w:rsid w:val="00F67FC2"/>
    <w:rsid w:val="00F726C9"/>
    <w:rsid w:val="00F744B8"/>
    <w:rsid w:val="00F745DB"/>
    <w:rsid w:val="00F75255"/>
    <w:rsid w:val="00F84608"/>
    <w:rsid w:val="00F8531F"/>
    <w:rsid w:val="00F867B5"/>
    <w:rsid w:val="00F87AF0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GQ3MGFhMjMtMjE1Yy00OTQ0LTllOTAtZDQwNGQ5MjcyMmU5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2</cp:revision>
  <cp:lastPrinted>2021-07-28T09:23:00Z</cp:lastPrinted>
  <dcterms:created xsi:type="dcterms:W3CDTF">2024-01-03T09:43:00Z</dcterms:created>
  <dcterms:modified xsi:type="dcterms:W3CDTF">2024-01-03T09:43:00Z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